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43" w:rsidRPr="00405556" w:rsidRDefault="00600843" w:rsidP="00600843">
      <w:pPr>
        <w:jc w:val="center"/>
        <w:rPr>
          <w:rFonts w:ascii="Arial" w:hAnsi="Arial" w:cs="Arial"/>
          <w:b/>
          <w:sz w:val="20"/>
          <w:szCs w:val="20"/>
        </w:rPr>
      </w:pPr>
      <w:bookmarkStart w:id="0" w:name="_GoBack"/>
      <w:bookmarkEnd w:id="0"/>
      <w:r w:rsidRPr="00405556">
        <w:rPr>
          <w:rFonts w:ascii="Arial" w:hAnsi="Arial" w:cs="Arial"/>
          <w:b/>
          <w:sz w:val="20"/>
          <w:szCs w:val="20"/>
        </w:rPr>
        <w:t>REPORTING PROCESSES THAT INFLUENCE CULTURE CHANGE IN TERTIARY EDUCATION</w:t>
      </w:r>
    </w:p>
    <w:p w:rsidR="00600843" w:rsidRPr="00405556" w:rsidRDefault="00600843" w:rsidP="00600843">
      <w:pPr>
        <w:spacing w:after="0"/>
        <w:jc w:val="center"/>
        <w:rPr>
          <w:rFonts w:ascii="Arial" w:hAnsi="Arial" w:cs="Arial"/>
          <w:sz w:val="20"/>
          <w:szCs w:val="20"/>
        </w:rPr>
      </w:pPr>
      <w:r w:rsidRPr="00405556">
        <w:rPr>
          <w:rFonts w:ascii="Arial" w:hAnsi="Arial" w:cs="Arial"/>
          <w:sz w:val="20"/>
          <w:szCs w:val="20"/>
        </w:rPr>
        <w:t>J</w:t>
      </w:r>
      <w:r w:rsidR="00DB0D5C">
        <w:rPr>
          <w:rFonts w:ascii="Arial" w:hAnsi="Arial" w:cs="Arial"/>
          <w:sz w:val="20"/>
          <w:szCs w:val="20"/>
        </w:rPr>
        <w:t>an</w:t>
      </w:r>
      <w:r w:rsidRPr="00405556">
        <w:rPr>
          <w:rFonts w:ascii="Arial" w:hAnsi="Arial" w:cs="Arial"/>
          <w:sz w:val="20"/>
          <w:szCs w:val="20"/>
        </w:rPr>
        <w:t xml:space="preserve"> </w:t>
      </w:r>
      <w:r w:rsidR="00D76603" w:rsidRPr="00405556">
        <w:rPr>
          <w:rFonts w:ascii="Arial" w:hAnsi="Arial" w:cs="Arial"/>
          <w:sz w:val="20"/>
          <w:szCs w:val="20"/>
        </w:rPr>
        <w:t xml:space="preserve">P. </w:t>
      </w:r>
      <w:r w:rsidRPr="00405556">
        <w:rPr>
          <w:rFonts w:ascii="Arial" w:hAnsi="Arial" w:cs="Arial"/>
          <w:sz w:val="20"/>
          <w:szCs w:val="20"/>
        </w:rPr>
        <w:t>Hausman</w:t>
      </w:r>
    </w:p>
    <w:p w:rsidR="00600843" w:rsidRPr="00405556" w:rsidRDefault="00600843" w:rsidP="00600843">
      <w:pPr>
        <w:spacing w:after="0"/>
        <w:jc w:val="center"/>
        <w:rPr>
          <w:rFonts w:ascii="Arial" w:hAnsi="Arial" w:cs="Arial"/>
          <w:sz w:val="20"/>
          <w:szCs w:val="20"/>
        </w:rPr>
      </w:pPr>
      <w:r w:rsidRPr="00405556">
        <w:rPr>
          <w:rFonts w:ascii="Arial" w:hAnsi="Arial" w:cs="Arial"/>
          <w:sz w:val="20"/>
          <w:szCs w:val="20"/>
        </w:rPr>
        <w:t>Bay of Plenty Polytechnic, Tauranga, New Zealand</w:t>
      </w:r>
    </w:p>
    <w:p w:rsidR="0029741A" w:rsidRPr="00405556" w:rsidRDefault="0029741A" w:rsidP="00600843">
      <w:pPr>
        <w:spacing w:after="0"/>
        <w:jc w:val="center"/>
        <w:rPr>
          <w:rFonts w:ascii="Arial" w:hAnsi="Arial" w:cs="Arial"/>
          <w:sz w:val="20"/>
          <w:szCs w:val="20"/>
        </w:rPr>
      </w:pPr>
    </w:p>
    <w:p w:rsidR="0029741A" w:rsidRPr="00405556" w:rsidRDefault="0029741A" w:rsidP="0029741A">
      <w:pPr>
        <w:spacing w:after="0"/>
        <w:rPr>
          <w:rFonts w:ascii="Arial" w:hAnsi="Arial" w:cs="Arial"/>
          <w:sz w:val="20"/>
          <w:szCs w:val="20"/>
        </w:rPr>
      </w:pPr>
      <w:r w:rsidRPr="00405556">
        <w:rPr>
          <w:rFonts w:ascii="Arial" w:hAnsi="Arial" w:cs="Arial"/>
          <w:sz w:val="20"/>
          <w:szCs w:val="20"/>
        </w:rPr>
        <w:t>This paper was presented at the Australasian Evaluation Society International Conference, Sydney, Australia, 29 August – 2 September 2011.</w:t>
      </w:r>
    </w:p>
    <w:p w:rsidR="0029741A" w:rsidRPr="00405556" w:rsidRDefault="0029741A" w:rsidP="0029741A">
      <w:pPr>
        <w:spacing w:after="0"/>
        <w:rPr>
          <w:rFonts w:ascii="Arial" w:hAnsi="Arial" w:cs="Arial"/>
          <w:sz w:val="20"/>
          <w:szCs w:val="20"/>
        </w:rPr>
      </w:pPr>
    </w:p>
    <w:p w:rsidR="0029741A" w:rsidRPr="00405556" w:rsidRDefault="0029741A" w:rsidP="0029741A">
      <w:pPr>
        <w:spacing w:after="0"/>
        <w:rPr>
          <w:rFonts w:ascii="Arial" w:hAnsi="Arial" w:cs="Arial"/>
          <w:sz w:val="20"/>
          <w:szCs w:val="20"/>
        </w:rPr>
      </w:pPr>
    </w:p>
    <w:p w:rsidR="0029741A" w:rsidRPr="00405556" w:rsidRDefault="0029741A" w:rsidP="0029741A">
      <w:pPr>
        <w:spacing w:after="0"/>
        <w:rPr>
          <w:rFonts w:ascii="Arial" w:hAnsi="Arial" w:cs="Arial"/>
          <w:b/>
          <w:sz w:val="20"/>
          <w:szCs w:val="20"/>
        </w:rPr>
      </w:pPr>
      <w:r w:rsidRPr="00405556">
        <w:rPr>
          <w:rFonts w:ascii="Arial" w:hAnsi="Arial" w:cs="Arial"/>
          <w:b/>
          <w:sz w:val="20"/>
          <w:szCs w:val="20"/>
        </w:rPr>
        <w:t>Abstract</w:t>
      </w:r>
    </w:p>
    <w:p w:rsidR="0029741A" w:rsidRPr="00405556" w:rsidRDefault="0029741A" w:rsidP="0029741A">
      <w:pPr>
        <w:spacing w:after="0"/>
        <w:rPr>
          <w:rFonts w:ascii="Arial" w:hAnsi="Arial" w:cs="Arial"/>
          <w:b/>
          <w:sz w:val="20"/>
          <w:szCs w:val="20"/>
        </w:rPr>
      </w:pPr>
    </w:p>
    <w:p w:rsidR="0029741A" w:rsidRPr="00405556" w:rsidRDefault="0029741A" w:rsidP="0029741A">
      <w:pPr>
        <w:rPr>
          <w:rFonts w:ascii="Arial" w:hAnsi="Arial" w:cs="Arial"/>
          <w:sz w:val="20"/>
          <w:szCs w:val="20"/>
        </w:rPr>
      </w:pPr>
      <w:r w:rsidRPr="00405556">
        <w:rPr>
          <w:rFonts w:ascii="Arial" w:hAnsi="Arial" w:cs="Arial"/>
          <w:sz w:val="20"/>
          <w:szCs w:val="20"/>
        </w:rPr>
        <w:t>Annual programme review reports have been in common usage for a number of years – but do they really make a difference?  What really happens?  Is it just a report of programme activity for the previous year, or does this reporting process work as an impetus for change?</w:t>
      </w:r>
    </w:p>
    <w:p w:rsidR="0029741A" w:rsidRPr="00405556" w:rsidRDefault="0029741A" w:rsidP="0029741A">
      <w:pPr>
        <w:rPr>
          <w:rFonts w:ascii="Arial" w:hAnsi="Arial" w:cs="Arial"/>
          <w:sz w:val="20"/>
          <w:szCs w:val="20"/>
        </w:rPr>
      </w:pPr>
      <w:r w:rsidRPr="00405556">
        <w:rPr>
          <w:rFonts w:ascii="Arial" w:hAnsi="Arial" w:cs="Arial"/>
          <w:sz w:val="20"/>
          <w:szCs w:val="20"/>
        </w:rPr>
        <w:t>In recent times, New Zealand has shifted from a compliance based model of quality assurance to an evaluative outcomes focused approach to quality.  At Bay of Plenty Polytechnic, this has led to changes in the way programme delivery and student outcomes are reflected on, discussed and reported.</w:t>
      </w:r>
    </w:p>
    <w:p w:rsidR="0029741A" w:rsidRPr="00405556" w:rsidRDefault="0029741A" w:rsidP="0029741A">
      <w:pPr>
        <w:rPr>
          <w:rFonts w:ascii="Arial" w:hAnsi="Arial" w:cs="Arial"/>
          <w:sz w:val="20"/>
          <w:szCs w:val="20"/>
        </w:rPr>
      </w:pPr>
      <w:r w:rsidRPr="00405556">
        <w:rPr>
          <w:rFonts w:ascii="Arial" w:hAnsi="Arial" w:cs="Arial"/>
          <w:sz w:val="20"/>
          <w:szCs w:val="20"/>
        </w:rPr>
        <w:t xml:space="preserve">This paper will provide a brief overview of the </w:t>
      </w:r>
      <w:r w:rsidR="001463A1">
        <w:rPr>
          <w:rFonts w:ascii="Arial" w:hAnsi="Arial" w:cs="Arial"/>
          <w:sz w:val="20"/>
          <w:szCs w:val="20"/>
        </w:rPr>
        <w:t xml:space="preserve">changing </w:t>
      </w:r>
      <w:r w:rsidRPr="00405556">
        <w:rPr>
          <w:rFonts w:ascii="Arial" w:hAnsi="Arial" w:cs="Arial"/>
          <w:sz w:val="20"/>
          <w:szCs w:val="20"/>
        </w:rPr>
        <w:t xml:space="preserve">context of accountability in tertiary education in the last two decades as New Zealand moved through an audit based system of quality towards a system of self assessment and external evaluation and review.  With this background, the paper will then </w:t>
      </w:r>
      <w:r w:rsidR="001463A1">
        <w:rPr>
          <w:rFonts w:ascii="Arial" w:hAnsi="Arial" w:cs="Arial"/>
          <w:sz w:val="20"/>
          <w:szCs w:val="20"/>
        </w:rPr>
        <w:t xml:space="preserve">reveal some changes in the 2009 and 2010 </w:t>
      </w:r>
      <w:r w:rsidRPr="00405556">
        <w:rPr>
          <w:rFonts w:ascii="Arial" w:hAnsi="Arial" w:cs="Arial"/>
          <w:sz w:val="20"/>
          <w:szCs w:val="20"/>
        </w:rPr>
        <w:t>approaches to annual programme review (APR)</w:t>
      </w:r>
      <w:r w:rsidR="001463A1">
        <w:rPr>
          <w:rFonts w:ascii="Arial" w:hAnsi="Arial" w:cs="Arial"/>
          <w:sz w:val="20"/>
          <w:szCs w:val="20"/>
        </w:rPr>
        <w:t xml:space="preserve">, </w:t>
      </w:r>
      <w:r w:rsidR="007C249A">
        <w:rPr>
          <w:rFonts w:ascii="Arial" w:hAnsi="Arial" w:cs="Arial"/>
          <w:sz w:val="20"/>
          <w:szCs w:val="20"/>
        </w:rPr>
        <w:t xml:space="preserve">and </w:t>
      </w:r>
      <w:r w:rsidR="001463A1">
        <w:rPr>
          <w:rFonts w:ascii="Arial" w:hAnsi="Arial" w:cs="Arial"/>
          <w:sz w:val="20"/>
          <w:szCs w:val="20"/>
        </w:rPr>
        <w:t>together with an academic committee restructure,</w:t>
      </w:r>
      <w:r w:rsidRPr="00405556">
        <w:rPr>
          <w:rFonts w:ascii="Arial" w:hAnsi="Arial" w:cs="Arial"/>
          <w:sz w:val="20"/>
          <w:szCs w:val="20"/>
        </w:rPr>
        <w:t xml:space="preserve"> to show the shift in thinking and practice that is occurring.</w:t>
      </w:r>
    </w:p>
    <w:p w:rsidR="0029741A" w:rsidRPr="00405556" w:rsidRDefault="0029741A" w:rsidP="0029741A">
      <w:pPr>
        <w:spacing w:after="0"/>
        <w:rPr>
          <w:rFonts w:ascii="Arial" w:hAnsi="Arial" w:cs="Arial"/>
          <w:b/>
          <w:sz w:val="20"/>
          <w:szCs w:val="20"/>
        </w:rPr>
      </w:pPr>
    </w:p>
    <w:p w:rsidR="00600843" w:rsidRPr="00405556" w:rsidRDefault="00600843" w:rsidP="00600843">
      <w:pPr>
        <w:rPr>
          <w:rFonts w:ascii="Arial" w:hAnsi="Arial" w:cs="Arial"/>
          <w:b/>
          <w:sz w:val="20"/>
          <w:szCs w:val="20"/>
        </w:rPr>
      </w:pPr>
      <w:r w:rsidRPr="00405556">
        <w:rPr>
          <w:rFonts w:ascii="Arial" w:hAnsi="Arial" w:cs="Arial"/>
          <w:b/>
          <w:sz w:val="20"/>
          <w:szCs w:val="20"/>
        </w:rPr>
        <w:t>Introduction</w:t>
      </w:r>
    </w:p>
    <w:p w:rsidR="00600843" w:rsidRPr="00405556" w:rsidRDefault="00600843" w:rsidP="00600843">
      <w:pPr>
        <w:rPr>
          <w:rFonts w:ascii="Arial" w:hAnsi="Arial" w:cs="Arial"/>
          <w:sz w:val="20"/>
          <w:szCs w:val="20"/>
        </w:rPr>
      </w:pPr>
      <w:r w:rsidRPr="00405556">
        <w:rPr>
          <w:rFonts w:ascii="Arial" w:hAnsi="Arial" w:cs="Arial"/>
          <w:sz w:val="20"/>
          <w:szCs w:val="20"/>
        </w:rPr>
        <w:t>The shift from a compliance based audit model of quality assurance to an outcomes focused evaluative model of quality assurance is designed to shift tertiary education in New Zealand away from simply a reporting process towards reflecting on the outcomes for our students and community and moving to continuous improvement.  This involves a shift in thinking from</w:t>
      </w:r>
    </w:p>
    <w:p w:rsidR="00600843" w:rsidRPr="00405556" w:rsidRDefault="00600843" w:rsidP="00600843">
      <w:pPr>
        <w:spacing w:after="120" w:line="240" w:lineRule="auto"/>
        <w:jc w:val="center"/>
        <w:rPr>
          <w:rFonts w:ascii="Arial" w:hAnsi="Arial" w:cs="Arial"/>
          <w:sz w:val="20"/>
          <w:szCs w:val="20"/>
        </w:rPr>
      </w:pPr>
      <w:r w:rsidRPr="00405556">
        <w:rPr>
          <w:rFonts w:ascii="Arial" w:hAnsi="Arial" w:cs="Arial"/>
          <w:sz w:val="20"/>
          <w:szCs w:val="20"/>
        </w:rPr>
        <w:t>WHAT, SO WHAT</w:t>
      </w:r>
    </w:p>
    <w:p w:rsidR="00600843" w:rsidRPr="00405556" w:rsidRDefault="00600843" w:rsidP="00600843">
      <w:pPr>
        <w:spacing w:after="120" w:line="240" w:lineRule="auto"/>
        <w:jc w:val="center"/>
        <w:rPr>
          <w:rFonts w:ascii="Arial" w:hAnsi="Arial" w:cs="Arial"/>
          <w:sz w:val="20"/>
          <w:szCs w:val="20"/>
        </w:rPr>
      </w:pPr>
      <w:r w:rsidRPr="00405556">
        <w:rPr>
          <w:rFonts w:ascii="Arial" w:hAnsi="Arial" w:cs="Arial"/>
          <w:sz w:val="20"/>
          <w:szCs w:val="20"/>
        </w:rPr>
        <w:t>to</w:t>
      </w:r>
    </w:p>
    <w:p w:rsidR="00600843" w:rsidRDefault="00600843" w:rsidP="00600843">
      <w:pPr>
        <w:spacing w:after="120" w:line="240" w:lineRule="auto"/>
        <w:jc w:val="center"/>
        <w:rPr>
          <w:rFonts w:ascii="Arial" w:hAnsi="Arial" w:cs="Arial"/>
          <w:sz w:val="20"/>
          <w:szCs w:val="20"/>
        </w:rPr>
      </w:pPr>
      <w:r w:rsidRPr="00405556">
        <w:rPr>
          <w:rFonts w:ascii="Arial" w:hAnsi="Arial" w:cs="Arial"/>
          <w:sz w:val="20"/>
          <w:szCs w:val="20"/>
        </w:rPr>
        <w:t>WHAT, SO WHAT, NOW WHAT</w:t>
      </w:r>
      <w:r w:rsidR="007C249A">
        <w:rPr>
          <w:rFonts w:ascii="Arial" w:hAnsi="Arial" w:cs="Arial"/>
          <w:sz w:val="20"/>
          <w:szCs w:val="20"/>
        </w:rPr>
        <w:t>?</w:t>
      </w:r>
    </w:p>
    <w:p w:rsidR="007C249A" w:rsidRPr="00405556" w:rsidRDefault="007C249A" w:rsidP="00600843">
      <w:pPr>
        <w:spacing w:after="120" w:line="240" w:lineRule="auto"/>
        <w:jc w:val="center"/>
        <w:rPr>
          <w:rFonts w:ascii="Arial" w:hAnsi="Arial" w:cs="Arial"/>
          <w:sz w:val="20"/>
          <w:szCs w:val="20"/>
        </w:rPr>
      </w:pPr>
    </w:p>
    <w:p w:rsidR="00600843" w:rsidRPr="00405556" w:rsidRDefault="00600843" w:rsidP="00600843">
      <w:pPr>
        <w:rPr>
          <w:rFonts w:ascii="Arial" w:hAnsi="Arial" w:cs="Arial"/>
          <w:sz w:val="20"/>
          <w:szCs w:val="20"/>
        </w:rPr>
      </w:pPr>
      <w:r w:rsidRPr="00405556">
        <w:rPr>
          <w:rFonts w:ascii="Arial" w:hAnsi="Arial" w:cs="Arial"/>
          <w:sz w:val="20"/>
          <w:szCs w:val="20"/>
        </w:rPr>
        <w:t xml:space="preserve">This shift in thinking needs a change in culture and </w:t>
      </w:r>
      <w:r w:rsidR="007C249A">
        <w:rPr>
          <w:rFonts w:ascii="Arial" w:hAnsi="Arial" w:cs="Arial"/>
          <w:sz w:val="20"/>
          <w:szCs w:val="20"/>
        </w:rPr>
        <w:t xml:space="preserve">it needs to consider </w:t>
      </w:r>
      <w:r w:rsidRPr="00405556">
        <w:rPr>
          <w:rFonts w:ascii="Arial" w:hAnsi="Arial" w:cs="Arial"/>
          <w:sz w:val="20"/>
          <w:szCs w:val="20"/>
        </w:rPr>
        <w:t>ways of influencing that culture change.  The approach taken to annual programme review, in conjunction with meeting external requirements, can be one mechanism of influence of the evaluative process.</w:t>
      </w:r>
    </w:p>
    <w:p w:rsidR="00600843" w:rsidRDefault="00600843" w:rsidP="00600843">
      <w:pPr>
        <w:rPr>
          <w:rFonts w:ascii="Arial" w:hAnsi="Arial" w:cs="Arial"/>
          <w:sz w:val="20"/>
          <w:szCs w:val="20"/>
        </w:rPr>
      </w:pPr>
      <w:r w:rsidRPr="00405556">
        <w:rPr>
          <w:rFonts w:ascii="Arial" w:hAnsi="Arial" w:cs="Arial"/>
          <w:sz w:val="20"/>
          <w:szCs w:val="20"/>
        </w:rPr>
        <w:t>This paper will provide a</w:t>
      </w:r>
      <w:r w:rsidR="001463A1">
        <w:rPr>
          <w:rFonts w:ascii="Arial" w:hAnsi="Arial" w:cs="Arial"/>
          <w:sz w:val="20"/>
          <w:szCs w:val="20"/>
        </w:rPr>
        <w:t xml:space="preserve"> very </w:t>
      </w:r>
      <w:r w:rsidRPr="00405556">
        <w:rPr>
          <w:rFonts w:ascii="Arial" w:hAnsi="Arial" w:cs="Arial"/>
          <w:sz w:val="20"/>
          <w:szCs w:val="20"/>
        </w:rPr>
        <w:t xml:space="preserve">brief overview of the historical context of accountability in tertiary education in the last two decades as New Zealand moved through an audit based system of quality towards a system of self assessment and external evaluation and review.  With this background, the paper will then examine changed approaches to annual programme review (APR) promoted in the APR approach in 2010 and 2011.  </w:t>
      </w:r>
    </w:p>
    <w:p w:rsidR="00D00A4A" w:rsidRDefault="00D00A4A" w:rsidP="00600843">
      <w:pPr>
        <w:rPr>
          <w:rFonts w:ascii="Arial" w:hAnsi="Arial" w:cs="Arial"/>
          <w:sz w:val="20"/>
          <w:szCs w:val="20"/>
        </w:rPr>
      </w:pPr>
    </w:p>
    <w:p w:rsidR="00D00A4A" w:rsidRPr="00405556" w:rsidRDefault="00D00A4A" w:rsidP="00600843">
      <w:pPr>
        <w:rPr>
          <w:rFonts w:ascii="Arial" w:hAnsi="Arial" w:cs="Arial"/>
          <w:sz w:val="20"/>
          <w:szCs w:val="20"/>
        </w:rPr>
      </w:pPr>
    </w:p>
    <w:p w:rsidR="00F64AA3" w:rsidRPr="00405556" w:rsidRDefault="001463A1" w:rsidP="00600843">
      <w:pPr>
        <w:rPr>
          <w:rFonts w:ascii="Arial" w:hAnsi="Arial" w:cs="Arial"/>
          <w:sz w:val="20"/>
          <w:szCs w:val="20"/>
        </w:rPr>
      </w:pPr>
      <w:r>
        <w:rPr>
          <w:rFonts w:ascii="Arial" w:hAnsi="Arial" w:cs="Arial"/>
          <w:sz w:val="20"/>
          <w:szCs w:val="20"/>
        </w:rPr>
        <w:lastRenderedPageBreak/>
        <w:t>The k</w:t>
      </w:r>
      <w:r w:rsidR="00F64AA3" w:rsidRPr="00405556">
        <w:rPr>
          <w:rFonts w:ascii="Arial" w:hAnsi="Arial" w:cs="Arial"/>
          <w:sz w:val="20"/>
          <w:szCs w:val="20"/>
        </w:rPr>
        <w:t xml:space="preserve">ey changes </w:t>
      </w:r>
      <w:r>
        <w:rPr>
          <w:rFonts w:ascii="Arial" w:hAnsi="Arial" w:cs="Arial"/>
          <w:sz w:val="20"/>
          <w:szCs w:val="20"/>
        </w:rPr>
        <w:t xml:space="preserve">have </w:t>
      </w:r>
      <w:r w:rsidR="00F64AA3" w:rsidRPr="00405556">
        <w:rPr>
          <w:rFonts w:ascii="Arial" w:hAnsi="Arial" w:cs="Arial"/>
          <w:sz w:val="20"/>
          <w:szCs w:val="20"/>
        </w:rPr>
        <w:t>included:</w:t>
      </w:r>
    </w:p>
    <w:p w:rsidR="00F64AA3" w:rsidRPr="00405556" w:rsidRDefault="00F64AA3" w:rsidP="00F64AA3">
      <w:pPr>
        <w:pStyle w:val="ListParagraph"/>
        <w:numPr>
          <w:ilvl w:val="0"/>
          <w:numId w:val="10"/>
        </w:numPr>
        <w:rPr>
          <w:rFonts w:ascii="Arial" w:hAnsi="Arial" w:cs="Arial"/>
          <w:sz w:val="20"/>
          <w:szCs w:val="20"/>
        </w:rPr>
      </w:pPr>
      <w:r w:rsidRPr="00405556">
        <w:rPr>
          <w:rFonts w:ascii="Arial" w:hAnsi="Arial" w:cs="Arial"/>
          <w:sz w:val="20"/>
          <w:szCs w:val="20"/>
        </w:rPr>
        <w:t xml:space="preserve">A </w:t>
      </w:r>
      <w:r w:rsidR="00600843" w:rsidRPr="00405556">
        <w:rPr>
          <w:rFonts w:ascii="Arial" w:hAnsi="Arial" w:cs="Arial"/>
          <w:sz w:val="20"/>
          <w:szCs w:val="20"/>
        </w:rPr>
        <w:t xml:space="preserve">more collaborative team approach to APR discussion; </w:t>
      </w:r>
    </w:p>
    <w:p w:rsidR="00F64AA3" w:rsidRPr="00405556" w:rsidRDefault="001463A1" w:rsidP="00F64AA3">
      <w:pPr>
        <w:pStyle w:val="ListParagraph"/>
        <w:numPr>
          <w:ilvl w:val="0"/>
          <w:numId w:val="10"/>
        </w:numPr>
        <w:rPr>
          <w:rFonts w:ascii="Arial" w:hAnsi="Arial" w:cs="Arial"/>
          <w:sz w:val="20"/>
          <w:szCs w:val="20"/>
        </w:rPr>
      </w:pPr>
      <w:r>
        <w:rPr>
          <w:rFonts w:ascii="Arial" w:hAnsi="Arial" w:cs="Arial"/>
          <w:sz w:val="20"/>
          <w:szCs w:val="20"/>
        </w:rPr>
        <w:t>one S</w:t>
      </w:r>
      <w:r w:rsidR="00600843" w:rsidRPr="00405556">
        <w:rPr>
          <w:rFonts w:ascii="Arial" w:hAnsi="Arial" w:cs="Arial"/>
          <w:sz w:val="20"/>
          <w:szCs w:val="20"/>
        </w:rPr>
        <w:t>chool</w:t>
      </w:r>
      <w:r w:rsidR="00F64AA3" w:rsidRPr="00405556">
        <w:rPr>
          <w:rFonts w:ascii="Arial" w:hAnsi="Arial" w:cs="Arial"/>
          <w:sz w:val="20"/>
          <w:szCs w:val="20"/>
        </w:rPr>
        <w:t>’s trial of</w:t>
      </w:r>
      <w:r w:rsidR="00600843" w:rsidRPr="00405556">
        <w:rPr>
          <w:rFonts w:ascii="Arial" w:hAnsi="Arial" w:cs="Arial"/>
          <w:sz w:val="20"/>
          <w:szCs w:val="20"/>
        </w:rPr>
        <w:t xml:space="preserve"> a whole of school approach to sharing the outcomes and the issues; </w:t>
      </w:r>
    </w:p>
    <w:p w:rsidR="00F64AA3" w:rsidRPr="00405556" w:rsidRDefault="00D00A4A" w:rsidP="00F64AA3">
      <w:pPr>
        <w:pStyle w:val="ListParagraph"/>
        <w:numPr>
          <w:ilvl w:val="0"/>
          <w:numId w:val="10"/>
        </w:numPr>
        <w:rPr>
          <w:rFonts w:ascii="Arial" w:hAnsi="Arial" w:cs="Arial"/>
          <w:sz w:val="20"/>
          <w:szCs w:val="20"/>
        </w:rPr>
      </w:pPr>
      <w:r>
        <w:rPr>
          <w:rFonts w:ascii="Arial" w:hAnsi="Arial" w:cs="Arial"/>
          <w:sz w:val="20"/>
          <w:szCs w:val="20"/>
        </w:rPr>
        <w:t xml:space="preserve">reporting by the </w:t>
      </w:r>
      <w:r w:rsidR="00600843" w:rsidRPr="00405556">
        <w:rPr>
          <w:rFonts w:ascii="Arial" w:hAnsi="Arial" w:cs="Arial"/>
          <w:sz w:val="20"/>
          <w:szCs w:val="20"/>
        </w:rPr>
        <w:t xml:space="preserve">Heads of Schools on a ‘whole of school programme health’; </w:t>
      </w:r>
    </w:p>
    <w:p w:rsidR="00600843" w:rsidRPr="00405556" w:rsidRDefault="00600843" w:rsidP="00F64AA3">
      <w:pPr>
        <w:pStyle w:val="ListParagraph"/>
        <w:numPr>
          <w:ilvl w:val="0"/>
          <w:numId w:val="10"/>
        </w:numPr>
        <w:rPr>
          <w:rFonts w:ascii="Arial" w:hAnsi="Arial" w:cs="Arial"/>
          <w:sz w:val="20"/>
          <w:szCs w:val="20"/>
        </w:rPr>
      </w:pPr>
      <w:r w:rsidRPr="00405556">
        <w:rPr>
          <w:rFonts w:ascii="Arial" w:hAnsi="Arial" w:cs="Arial"/>
          <w:sz w:val="20"/>
          <w:szCs w:val="20"/>
        </w:rPr>
        <w:t xml:space="preserve">and an overall institutional </w:t>
      </w:r>
      <w:r w:rsidR="001463A1" w:rsidRPr="00405556">
        <w:rPr>
          <w:rFonts w:ascii="Arial" w:hAnsi="Arial" w:cs="Arial"/>
          <w:sz w:val="20"/>
          <w:szCs w:val="20"/>
        </w:rPr>
        <w:t xml:space="preserve">evaluation </w:t>
      </w:r>
      <w:r w:rsidR="001463A1">
        <w:rPr>
          <w:rFonts w:ascii="Arial" w:hAnsi="Arial" w:cs="Arial"/>
          <w:sz w:val="20"/>
          <w:szCs w:val="20"/>
        </w:rPr>
        <w:t>of ‘</w:t>
      </w:r>
      <w:r w:rsidRPr="00405556">
        <w:rPr>
          <w:rFonts w:ascii="Arial" w:hAnsi="Arial" w:cs="Arial"/>
          <w:sz w:val="20"/>
          <w:szCs w:val="20"/>
        </w:rPr>
        <w:t>programme delivery and resourcing</w:t>
      </w:r>
      <w:r w:rsidR="001463A1">
        <w:rPr>
          <w:rFonts w:ascii="Arial" w:hAnsi="Arial" w:cs="Arial"/>
          <w:sz w:val="20"/>
          <w:szCs w:val="20"/>
        </w:rPr>
        <w:t>’</w:t>
      </w:r>
      <w:r w:rsidR="00F64AA3" w:rsidRPr="00405556">
        <w:rPr>
          <w:rFonts w:ascii="Arial" w:hAnsi="Arial" w:cs="Arial"/>
          <w:sz w:val="20"/>
          <w:szCs w:val="20"/>
        </w:rPr>
        <w:t xml:space="preserve"> </w:t>
      </w:r>
      <w:r w:rsidR="00D00A4A">
        <w:rPr>
          <w:rFonts w:ascii="Arial" w:hAnsi="Arial" w:cs="Arial"/>
          <w:sz w:val="20"/>
          <w:szCs w:val="20"/>
        </w:rPr>
        <w:t xml:space="preserve">that </w:t>
      </w:r>
      <w:r w:rsidRPr="00405556">
        <w:rPr>
          <w:rFonts w:ascii="Arial" w:hAnsi="Arial" w:cs="Arial"/>
          <w:sz w:val="20"/>
          <w:szCs w:val="20"/>
        </w:rPr>
        <w:t>has highlighted institutional improvements that can support programme delivery.</w:t>
      </w:r>
    </w:p>
    <w:p w:rsidR="00600843" w:rsidRPr="00405556" w:rsidRDefault="00600843" w:rsidP="00600843">
      <w:pPr>
        <w:rPr>
          <w:rFonts w:ascii="Arial" w:hAnsi="Arial" w:cs="Arial"/>
          <w:sz w:val="20"/>
          <w:szCs w:val="20"/>
        </w:rPr>
      </w:pPr>
      <w:r w:rsidRPr="00405556">
        <w:rPr>
          <w:rFonts w:ascii="Arial" w:hAnsi="Arial" w:cs="Arial"/>
          <w:sz w:val="20"/>
          <w:szCs w:val="20"/>
        </w:rPr>
        <w:t>The paper also notes a simultaneous organisational review of academic structures</w:t>
      </w:r>
      <w:r w:rsidR="00BC46B3" w:rsidRPr="00405556">
        <w:rPr>
          <w:rFonts w:ascii="Arial" w:hAnsi="Arial" w:cs="Arial"/>
          <w:sz w:val="20"/>
          <w:szCs w:val="20"/>
        </w:rPr>
        <w:t xml:space="preserve">, </w:t>
      </w:r>
      <w:r w:rsidRPr="00405556">
        <w:rPr>
          <w:rFonts w:ascii="Arial" w:hAnsi="Arial" w:cs="Arial"/>
          <w:sz w:val="20"/>
          <w:szCs w:val="20"/>
        </w:rPr>
        <w:t xml:space="preserve">processes </w:t>
      </w:r>
      <w:r w:rsidR="00BC46B3" w:rsidRPr="00405556">
        <w:rPr>
          <w:rFonts w:ascii="Arial" w:hAnsi="Arial" w:cs="Arial"/>
          <w:sz w:val="20"/>
          <w:szCs w:val="20"/>
        </w:rPr>
        <w:t xml:space="preserve">and reporting </w:t>
      </w:r>
      <w:r w:rsidRPr="00405556">
        <w:rPr>
          <w:rFonts w:ascii="Arial" w:hAnsi="Arial" w:cs="Arial"/>
          <w:sz w:val="20"/>
          <w:szCs w:val="20"/>
        </w:rPr>
        <w:t>and the impacts that this has had on creating culture change.</w:t>
      </w:r>
    </w:p>
    <w:p w:rsidR="00600843" w:rsidRPr="00405556" w:rsidRDefault="00600843" w:rsidP="00600843">
      <w:pPr>
        <w:rPr>
          <w:rFonts w:ascii="Arial" w:hAnsi="Arial" w:cs="Arial"/>
          <w:sz w:val="20"/>
          <w:szCs w:val="20"/>
        </w:rPr>
      </w:pPr>
      <w:r w:rsidRPr="00405556">
        <w:rPr>
          <w:rFonts w:ascii="Arial" w:hAnsi="Arial" w:cs="Arial"/>
          <w:sz w:val="20"/>
          <w:szCs w:val="20"/>
        </w:rPr>
        <w:t>These examples will show the shift in thinking and practice that is occurring and signal where further change in the evaluative culture of the polytechnic might lead to in the future.</w:t>
      </w:r>
    </w:p>
    <w:p w:rsidR="00600843" w:rsidRPr="00405556" w:rsidRDefault="00600843" w:rsidP="00600843">
      <w:pPr>
        <w:rPr>
          <w:rFonts w:ascii="Arial" w:hAnsi="Arial" w:cs="Arial"/>
          <w:b/>
          <w:sz w:val="20"/>
          <w:szCs w:val="20"/>
        </w:rPr>
      </w:pPr>
    </w:p>
    <w:p w:rsidR="00600843" w:rsidRPr="00405556" w:rsidRDefault="00600843" w:rsidP="00600843">
      <w:pPr>
        <w:rPr>
          <w:rFonts w:ascii="Arial" w:hAnsi="Arial" w:cs="Arial"/>
          <w:sz w:val="20"/>
          <w:szCs w:val="20"/>
        </w:rPr>
      </w:pPr>
      <w:r w:rsidRPr="00405556">
        <w:rPr>
          <w:rFonts w:ascii="Arial" w:hAnsi="Arial" w:cs="Arial"/>
          <w:b/>
          <w:sz w:val="20"/>
          <w:szCs w:val="20"/>
        </w:rPr>
        <w:t>The early focus on accountability</w:t>
      </w:r>
    </w:p>
    <w:p w:rsidR="00600843" w:rsidRPr="00405556" w:rsidRDefault="00600843" w:rsidP="00600843">
      <w:pPr>
        <w:rPr>
          <w:rFonts w:ascii="Arial" w:hAnsi="Arial" w:cs="Arial"/>
          <w:sz w:val="20"/>
          <w:szCs w:val="20"/>
        </w:rPr>
      </w:pPr>
      <w:r w:rsidRPr="00405556">
        <w:rPr>
          <w:rFonts w:ascii="Arial" w:hAnsi="Arial" w:cs="Arial"/>
          <w:sz w:val="20"/>
          <w:szCs w:val="20"/>
        </w:rPr>
        <w:t xml:space="preserve">APR has been used as a reporting tool for accountability and quality improvement since the mid 1990s and was introduced by many polytechnics as part of implementing the quality management systems that emerged from 1995 onwards.    </w:t>
      </w:r>
    </w:p>
    <w:p w:rsidR="00600843" w:rsidRPr="00405556" w:rsidRDefault="00BC46B3" w:rsidP="00600843">
      <w:pPr>
        <w:rPr>
          <w:rFonts w:ascii="Arial" w:hAnsi="Arial" w:cs="Arial"/>
          <w:sz w:val="20"/>
          <w:szCs w:val="20"/>
        </w:rPr>
      </w:pPr>
      <w:r w:rsidRPr="00405556">
        <w:rPr>
          <w:rFonts w:ascii="Arial" w:hAnsi="Arial" w:cs="Arial"/>
          <w:sz w:val="20"/>
          <w:szCs w:val="20"/>
        </w:rPr>
        <w:t xml:space="preserve">Early </w:t>
      </w:r>
      <w:r w:rsidR="00600843" w:rsidRPr="00405556">
        <w:rPr>
          <w:rFonts w:ascii="Arial" w:hAnsi="Arial" w:cs="Arial"/>
          <w:sz w:val="20"/>
          <w:szCs w:val="20"/>
        </w:rPr>
        <w:t xml:space="preserve">APRs tended to report in terms of inputs, processes and </w:t>
      </w:r>
      <w:r w:rsidR="00D00A4A" w:rsidRPr="00405556">
        <w:rPr>
          <w:rFonts w:ascii="Arial" w:hAnsi="Arial" w:cs="Arial"/>
          <w:sz w:val="20"/>
          <w:szCs w:val="20"/>
        </w:rPr>
        <w:t>outputs (</w:t>
      </w:r>
      <w:r w:rsidR="00600843" w:rsidRPr="00405556">
        <w:rPr>
          <w:rFonts w:ascii="Arial" w:hAnsi="Arial" w:cs="Arial"/>
          <w:sz w:val="20"/>
          <w:szCs w:val="20"/>
        </w:rPr>
        <w:t xml:space="preserve">Hausman, 1996:3).  The compliance-focused APR tools used compliance </w:t>
      </w:r>
      <w:r w:rsidR="00D00A4A">
        <w:rPr>
          <w:rFonts w:ascii="Arial" w:hAnsi="Arial" w:cs="Arial"/>
          <w:sz w:val="20"/>
          <w:szCs w:val="20"/>
        </w:rPr>
        <w:t xml:space="preserve">that was </w:t>
      </w:r>
      <w:r w:rsidR="00600843" w:rsidRPr="00405556">
        <w:rPr>
          <w:rFonts w:ascii="Arial" w:hAnsi="Arial" w:cs="Arial"/>
          <w:sz w:val="20"/>
          <w:szCs w:val="20"/>
        </w:rPr>
        <w:t xml:space="preserve">linked to accountability, or value for money, and rules </w:t>
      </w:r>
      <w:r w:rsidR="00D00A4A">
        <w:rPr>
          <w:rFonts w:ascii="Arial" w:hAnsi="Arial" w:cs="Arial"/>
          <w:sz w:val="20"/>
          <w:szCs w:val="20"/>
        </w:rPr>
        <w:t xml:space="preserve">that were </w:t>
      </w:r>
      <w:r w:rsidR="00600843" w:rsidRPr="00405556">
        <w:rPr>
          <w:rFonts w:ascii="Arial" w:hAnsi="Arial" w:cs="Arial"/>
          <w:sz w:val="20"/>
          <w:szCs w:val="20"/>
        </w:rPr>
        <w:t>enforced by a system of surveillance (Harvey &amp; Jones cited in Hausman, 1996, p33).  This compliance view has improvement as a secondary function of the monitoring process (Harvey, 1993:10).</w:t>
      </w:r>
    </w:p>
    <w:p w:rsidR="00600843" w:rsidRPr="00405556" w:rsidRDefault="00600843" w:rsidP="00600843">
      <w:pPr>
        <w:rPr>
          <w:rFonts w:ascii="Arial" w:hAnsi="Arial" w:cs="Arial"/>
          <w:sz w:val="20"/>
          <w:szCs w:val="20"/>
        </w:rPr>
      </w:pPr>
      <w:r w:rsidRPr="00405556">
        <w:rPr>
          <w:rFonts w:ascii="Arial" w:hAnsi="Arial" w:cs="Arial"/>
          <w:sz w:val="20"/>
          <w:szCs w:val="20"/>
        </w:rPr>
        <w:t>We know through many authors over the 1990’s (Fullan, 1992; Hausman, 1996; Hopkins, 1994; Leithwood 1992; Murphy, 1990; Stewart &amp; Prebble 1993</w:t>
      </w:r>
      <w:r w:rsidR="00521DEC" w:rsidRPr="00405556">
        <w:rPr>
          <w:rFonts w:ascii="Arial" w:hAnsi="Arial" w:cs="Arial"/>
          <w:sz w:val="20"/>
          <w:szCs w:val="20"/>
        </w:rPr>
        <w:t>)</w:t>
      </w:r>
      <w:r w:rsidRPr="00405556">
        <w:rPr>
          <w:rFonts w:ascii="Arial" w:hAnsi="Arial" w:cs="Arial"/>
          <w:sz w:val="20"/>
          <w:szCs w:val="20"/>
        </w:rPr>
        <w:t xml:space="preserve">, that to create an environment where continuous improvement might thrive requires a culture of open discussion, collaborative and consensual decision making and an open democratic climate (Hopkins 1994).  </w:t>
      </w:r>
    </w:p>
    <w:p w:rsidR="00600843" w:rsidRPr="00405556" w:rsidRDefault="00600843" w:rsidP="00600843">
      <w:pPr>
        <w:rPr>
          <w:rFonts w:ascii="Arial" w:hAnsi="Arial" w:cs="Arial"/>
          <w:sz w:val="20"/>
          <w:szCs w:val="20"/>
        </w:rPr>
      </w:pPr>
      <w:r w:rsidRPr="00405556">
        <w:rPr>
          <w:rFonts w:ascii="Arial" w:hAnsi="Arial" w:cs="Arial"/>
          <w:sz w:val="20"/>
          <w:szCs w:val="20"/>
        </w:rPr>
        <w:t xml:space="preserve">A study about programme review completed in 1996 (Hausman, p40) noted that </w:t>
      </w:r>
    </w:p>
    <w:p w:rsidR="00600843" w:rsidRPr="00405556" w:rsidRDefault="00600843" w:rsidP="00600843">
      <w:pPr>
        <w:ind w:left="720"/>
        <w:rPr>
          <w:rFonts w:ascii="Arial" w:hAnsi="Arial" w:cs="Arial"/>
          <w:sz w:val="20"/>
          <w:szCs w:val="20"/>
        </w:rPr>
      </w:pPr>
      <w:r w:rsidRPr="00405556">
        <w:rPr>
          <w:rFonts w:ascii="Arial" w:hAnsi="Arial" w:cs="Arial"/>
          <w:sz w:val="20"/>
          <w:szCs w:val="20"/>
        </w:rPr>
        <w:t>It is questionable whether a direct, definable link can be made to suggest that programme review enhances the quality of the student experience.  What is indicated however is that the nature of review itself, involving reflection and collaborative dialogue with peers has the potential to enhance a culture of critical continuous review.  This then increases the chance of student needs being identified and met, and the potential for content to be continually validated.  The identification of systems which assist in the monitoring of student progress increases the opportunity to recognize early indicators where students might require remedial assistance.</w:t>
      </w:r>
    </w:p>
    <w:p w:rsidR="00600843" w:rsidRPr="00405556" w:rsidRDefault="00600843">
      <w:pPr>
        <w:rPr>
          <w:rFonts w:ascii="Arial" w:hAnsi="Arial" w:cs="Arial"/>
          <w:b/>
          <w:sz w:val="20"/>
          <w:szCs w:val="20"/>
        </w:rPr>
      </w:pPr>
    </w:p>
    <w:p w:rsidR="00600843" w:rsidRPr="00405556" w:rsidRDefault="00BC46B3">
      <w:pPr>
        <w:rPr>
          <w:rFonts w:ascii="Arial" w:hAnsi="Arial" w:cs="Arial"/>
          <w:b/>
          <w:sz w:val="20"/>
          <w:szCs w:val="20"/>
        </w:rPr>
      </w:pPr>
      <w:r w:rsidRPr="00405556">
        <w:rPr>
          <w:rFonts w:ascii="Arial" w:hAnsi="Arial" w:cs="Arial"/>
          <w:b/>
          <w:sz w:val="20"/>
          <w:szCs w:val="20"/>
        </w:rPr>
        <w:t>The move from audit to outcomes based self evaluation</w:t>
      </w:r>
    </w:p>
    <w:p w:rsidR="00032767" w:rsidRPr="00405556" w:rsidRDefault="00032767" w:rsidP="00032767">
      <w:pPr>
        <w:rPr>
          <w:rFonts w:ascii="Arial" w:hAnsi="Arial" w:cs="Arial"/>
          <w:sz w:val="20"/>
          <w:szCs w:val="20"/>
        </w:rPr>
      </w:pPr>
      <w:r w:rsidRPr="00405556">
        <w:rPr>
          <w:rFonts w:ascii="Arial" w:hAnsi="Arial" w:cs="Arial"/>
          <w:sz w:val="20"/>
          <w:szCs w:val="20"/>
        </w:rPr>
        <w:t>In NZ, a system of self evaluation and external evaluation and review was introduced by the N</w:t>
      </w:r>
      <w:r w:rsidR="00E522CA" w:rsidRPr="00405556">
        <w:rPr>
          <w:rFonts w:ascii="Arial" w:hAnsi="Arial" w:cs="Arial"/>
          <w:sz w:val="20"/>
          <w:szCs w:val="20"/>
        </w:rPr>
        <w:t xml:space="preserve">ew Zealand </w:t>
      </w:r>
      <w:r w:rsidRPr="00405556">
        <w:rPr>
          <w:rFonts w:ascii="Arial" w:hAnsi="Arial" w:cs="Arial"/>
          <w:sz w:val="20"/>
          <w:szCs w:val="20"/>
        </w:rPr>
        <w:t xml:space="preserve">Qualifications </w:t>
      </w:r>
      <w:r w:rsidR="00BC46B3" w:rsidRPr="00405556">
        <w:rPr>
          <w:rFonts w:ascii="Arial" w:hAnsi="Arial" w:cs="Arial"/>
          <w:sz w:val="20"/>
          <w:szCs w:val="20"/>
        </w:rPr>
        <w:t xml:space="preserve">Authority </w:t>
      </w:r>
      <w:r w:rsidR="00E522CA" w:rsidRPr="00405556">
        <w:rPr>
          <w:rFonts w:ascii="Arial" w:hAnsi="Arial" w:cs="Arial"/>
          <w:sz w:val="20"/>
          <w:szCs w:val="20"/>
        </w:rPr>
        <w:t xml:space="preserve">(NZQA) </w:t>
      </w:r>
      <w:r w:rsidR="00BC46B3" w:rsidRPr="00405556">
        <w:rPr>
          <w:rFonts w:ascii="Arial" w:hAnsi="Arial" w:cs="Arial"/>
          <w:sz w:val="20"/>
          <w:szCs w:val="20"/>
        </w:rPr>
        <w:t>through</w:t>
      </w:r>
      <w:r w:rsidR="001E6B2F" w:rsidRPr="00405556">
        <w:rPr>
          <w:rFonts w:ascii="Arial" w:hAnsi="Arial" w:cs="Arial"/>
          <w:sz w:val="20"/>
          <w:szCs w:val="20"/>
        </w:rPr>
        <w:t xml:space="preserve"> a trial mode in 2009</w:t>
      </w:r>
      <w:r w:rsidR="00BC46B3" w:rsidRPr="00405556">
        <w:rPr>
          <w:rFonts w:ascii="Arial" w:hAnsi="Arial" w:cs="Arial"/>
          <w:sz w:val="20"/>
          <w:szCs w:val="20"/>
        </w:rPr>
        <w:t>, and</w:t>
      </w:r>
      <w:r w:rsidR="001E6B2F" w:rsidRPr="00405556">
        <w:rPr>
          <w:rFonts w:ascii="Arial" w:hAnsi="Arial" w:cs="Arial"/>
          <w:sz w:val="20"/>
          <w:szCs w:val="20"/>
        </w:rPr>
        <w:t xml:space="preserve"> </w:t>
      </w:r>
      <w:r w:rsidR="00BC46B3" w:rsidRPr="00405556">
        <w:rPr>
          <w:rFonts w:ascii="Arial" w:hAnsi="Arial" w:cs="Arial"/>
          <w:sz w:val="20"/>
          <w:szCs w:val="20"/>
        </w:rPr>
        <w:t xml:space="preserve">then </w:t>
      </w:r>
      <w:r w:rsidR="001E6B2F" w:rsidRPr="00405556">
        <w:rPr>
          <w:rFonts w:ascii="Arial" w:hAnsi="Arial" w:cs="Arial"/>
          <w:sz w:val="20"/>
          <w:szCs w:val="20"/>
        </w:rPr>
        <w:t>in reality in 2010.</w:t>
      </w:r>
      <w:r w:rsidR="00BC46B3" w:rsidRPr="00405556">
        <w:rPr>
          <w:rFonts w:ascii="Arial" w:hAnsi="Arial" w:cs="Arial"/>
          <w:sz w:val="20"/>
          <w:szCs w:val="20"/>
        </w:rPr>
        <w:t xml:space="preserve">   </w:t>
      </w:r>
      <w:r w:rsidRPr="00405556">
        <w:rPr>
          <w:rFonts w:ascii="Arial" w:hAnsi="Arial" w:cs="Arial"/>
          <w:sz w:val="20"/>
          <w:szCs w:val="20"/>
        </w:rPr>
        <w:t xml:space="preserve">This evaluative outcomes focused quality assurance replaced the audit based approach to quality assurance that had been operating for the previous 19 years. </w:t>
      </w:r>
      <w:r w:rsidR="00BC46B3" w:rsidRPr="00405556">
        <w:rPr>
          <w:rFonts w:ascii="Arial" w:hAnsi="Arial" w:cs="Arial"/>
          <w:sz w:val="20"/>
          <w:szCs w:val="20"/>
        </w:rPr>
        <w:t xml:space="preserve">  Each Tertiary Education Organisation</w:t>
      </w:r>
      <w:r w:rsidR="00521DEC" w:rsidRPr="00405556">
        <w:rPr>
          <w:rFonts w:ascii="Arial" w:hAnsi="Arial" w:cs="Arial"/>
          <w:sz w:val="20"/>
          <w:szCs w:val="20"/>
        </w:rPr>
        <w:t xml:space="preserve"> (TEO</w:t>
      </w:r>
      <w:r w:rsidR="00E522CA" w:rsidRPr="00405556">
        <w:rPr>
          <w:rFonts w:ascii="Arial" w:hAnsi="Arial" w:cs="Arial"/>
          <w:sz w:val="20"/>
          <w:szCs w:val="20"/>
        </w:rPr>
        <w:t>) was</w:t>
      </w:r>
      <w:r w:rsidR="00BC46B3" w:rsidRPr="00405556">
        <w:rPr>
          <w:rFonts w:ascii="Arial" w:hAnsi="Arial" w:cs="Arial"/>
          <w:sz w:val="20"/>
          <w:szCs w:val="20"/>
        </w:rPr>
        <w:t xml:space="preserve"> required to develop its own system of self evaluation (also called self assessment).  The intention is that self </w:t>
      </w:r>
      <w:r w:rsidR="00BC46B3" w:rsidRPr="00405556">
        <w:rPr>
          <w:rFonts w:ascii="Arial" w:hAnsi="Arial" w:cs="Arial"/>
          <w:sz w:val="20"/>
          <w:szCs w:val="20"/>
        </w:rPr>
        <w:lastRenderedPageBreak/>
        <w:t xml:space="preserve">evaluation becomes the everyday way of working.  A cyclic system was also introduced of External Evaluation and Review (EER) with the EER team’s role being to make a </w:t>
      </w:r>
      <w:r w:rsidR="00C10EB7">
        <w:rPr>
          <w:rFonts w:ascii="Arial" w:hAnsi="Arial" w:cs="Arial"/>
          <w:sz w:val="20"/>
          <w:szCs w:val="20"/>
        </w:rPr>
        <w:t>confidence j</w:t>
      </w:r>
      <w:r w:rsidR="00BC46B3" w:rsidRPr="00405556">
        <w:rPr>
          <w:rFonts w:ascii="Arial" w:hAnsi="Arial" w:cs="Arial"/>
          <w:sz w:val="20"/>
          <w:szCs w:val="20"/>
        </w:rPr>
        <w:t>udgment of the TEO’s educat</w:t>
      </w:r>
      <w:r w:rsidR="00521DEC" w:rsidRPr="00405556">
        <w:rPr>
          <w:rFonts w:ascii="Arial" w:hAnsi="Arial" w:cs="Arial"/>
          <w:sz w:val="20"/>
          <w:szCs w:val="20"/>
        </w:rPr>
        <w:t>ion</w:t>
      </w:r>
      <w:r w:rsidR="00C10EB7">
        <w:rPr>
          <w:rFonts w:ascii="Arial" w:hAnsi="Arial" w:cs="Arial"/>
          <w:sz w:val="20"/>
          <w:szCs w:val="20"/>
        </w:rPr>
        <w:t>al</w:t>
      </w:r>
      <w:r w:rsidR="00521DEC" w:rsidRPr="00405556">
        <w:rPr>
          <w:rFonts w:ascii="Arial" w:hAnsi="Arial" w:cs="Arial"/>
          <w:sz w:val="20"/>
          <w:szCs w:val="20"/>
        </w:rPr>
        <w:t xml:space="preserve"> performance</w:t>
      </w:r>
      <w:r w:rsidR="00C10EB7">
        <w:rPr>
          <w:rFonts w:ascii="Arial" w:hAnsi="Arial" w:cs="Arial"/>
          <w:sz w:val="20"/>
          <w:szCs w:val="20"/>
        </w:rPr>
        <w:t>, based on student outcomes</w:t>
      </w:r>
      <w:r w:rsidR="00BA5499">
        <w:rPr>
          <w:rFonts w:ascii="Arial" w:hAnsi="Arial" w:cs="Arial"/>
          <w:sz w:val="20"/>
          <w:szCs w:val="20"/>
        </w:rPr>
        <w:t>, and</w:t>
      </w:r>
      <w:r w:rsidR="00521DEC" w:rsidRPr="00405556">
        <w:rPr>
          <w:rFonts w:ascii="Arial" w:hAnsi="Arial" w:cs="Arial"/>
          <w:sz w:val="20"/>
          <w:szCs w:val="20"/>
        </w:rPr>
        <w:t xml:space="preserve"> </w:t>
      </w:r>
      <w:r w:rsidR="00C10EB7">
        <w:rPr>
          <w:rFonts w:ascii="Arial" w:hAnsi="Arial" w:cs="Arial"/>
          <w:sz w:val="20"/>
          <w:szCs w:val="20"/>
        </w:rPr>
        <w:t xml:space="preserve">the TEO’s </w:t>
      </w:r>
      <w:r w:rsidR="00521DEC" w:rsidRPr="00405556">
        <w:rPr>
          <w:rFonts w:ascii="Arial" w:hAnsi="Arial" w:cs="Arial"/>
          <w:sz w:val="20"/>
          <w:szCs w:val="20"/>
        </w:rPr>
        <w:t>capability in</w:t>
      </w:r>
      <w:r w:rsidR="00BC46B3" w:rsidRPr="00405556">
        <w:rPr>
          <w:rFonts w:ascii="Arial" w:hAnsi="Arial" w:cs="Arial"/>
          <w:sz w:val="20"/>
          <w:szCs w:val="20"/>
        </w:rPr>
        <w:t xml:space="preserve"> self assessment.</w:t>
      </w:r>
    </w:p>
    <w:p w:rsidR="00032767" w:rsidRPr="00405556" w:rsidRDefault="00411A14" w:rsidP="00032767">
      <w:pPr>
        <w:rPr>
          <w:rFonts w:ascii="Arial" w:hAnsi="Arial" w:cs="Arial"/>
          <w:sz w:val="20"/>
          <w:szCs w:val="20"/>
        </w:rPr>
      </w:pPr>
      <w:r w:rsidRPr="00405556">
        <w:rPr>
          <w:rFonts w:ascii="Arial" w:hAnsi="Arial" w:cs="Arial"/>
          <w:sz w:val="20"/>
          <w:szCs w:val="20"/>
        </w:rPr>
        <w:t>Bay of Plenty Polytechnic has several tools it uses for self evaluati</w:t>
      </w:r>
      <w:r w:rsidR="008265BF" w:rsidRPr="00405556">
        <w:rPr>
          <w:rFonts w:ascii="Arial" w:hAnsi="Arial" w:cs="Arial"/>
          <w:sz w:val="20"/>
          <w:szCs w:val="20"/>
        </w:rPr>
        <w:t>o</w:t>
      </w:r>
      <w:r w:rsidRPr="00405556">
        <w:rPr>
          <w:rFonts w:ascii="Arial" w:hAnsi="Arial" w:cs="Arial"/>
          <w:sz w:val="20"/>
          <w:szCs w:val="20"/>
        </w:rPr>
        <w:t xml:space="preserve">n, but </w:t>
      </w:r>
      <w:r w:rsidR="008265BF" w:rsidRPr="00405556">
        <w:rPr>
          <w:rFonts w:ascii="Arial" w:hAnsi="Arial" w:cs="Arial"/>
          <w:sz w:val="20"/>
          <w:szCs w:val="20"/>
        </w:rPr>
        <w:t>the key</w:t>
      </w:r>
      <w:r w:rsidR="00032767" w:rsidRPr="00405556">
        <w:rPr>
          <w:rFonts w:ascii="Arial" w:hAnsi="Arial" w:cs="Arial"/>
          <w:sz w:val="20"/>
          <w:szCs w:val="20"/>
        </w:rPr>
        <w:t xml:space="preserve"> </w:t>
      </w:r>
      <w:r w:rsidR="008265BF" w:rsidRPr="00405556">
        <w:rPr>
          <w:rFonts w:ascii="Arial" w:hAnsi="Arial" w:cs="Arial"/>
          <w:sz w:val="20"/>
          <w:szCs w:val="20"/>
        </w:rPr>
        <w:t>tool is</w:t>
      </w:r>
      <w:r w:rsidR="00032767" w:rsidRPr="00405556">
        <w:rPr>
          <w:rFonts w:ascii="Arial" w:hAnsi="Arial" w:cs="Arial"/>
          <w:sz w:val="20"/>
          <w:szCs w:val="20"/>
        </w:rPr>
        <w:t xml:space="preserve"> an </w:t>
      </w:r>
      <w:r w:rsidR="008265BF" w:rsidRPr="00405556">
        <w:rPr>
          <w:rFonts w:ascii="Arial" w:hAnsi="Arial" w:cs="Arial"/>
          <w:sz w:val="20"/>
          <w:szCs w:val="20"/>
        </w:rPr>
        <w:t>Annual P</w:t>
      </w:r>
      <w:r w:rsidR="00032767" w:rsidRPr="00405556">
        <w:rPr>
          <w:rFonts w:ascii="Arial" w:hAnsi="Arial" w:cs="Arial"/>
          <w:sz w:val="20"/>
          <w:szCs w:val="20"/>
        </w:rPr>
        <w:t xml:space="preserve">rogramme </w:t>
      </w:r>
      <w:r w:rsidR="008265BF" w:rsidRPr="00405556">
        <w:rPr>
          <w:rFonts w:ascii="Arial" w:hAnsi="Arial" w:cs="Arial"/>
          <w:sz w:val="20"/>
          <w:szCs w:val="20"/>
        </w:rPr>
        <w:t>R</w:t>
      </w:r>
      <w:r w:rsidR="00032767" w:rsidRPr="00405556">
        <w:rPr>
          <w:rFonts w:ascii="Arial" w:hAnsi="Arial" w:cs="Arial"/>
          <w:sz w:val="20"/>
          <w:szCs w:val="20"/>
        </w:rPr>
        <w:t>eview report</w:t>
      </w:r>
      <w:r w:rsidR="008265BF" w:rsidRPr="00405556">
        <w:rPr>
          <w:rFonts w:ascii="Arial" w:hAnsi="Arial" w:cs="Arial"/>
          <w:sz w:val="20"/>
          <w:szCs w:val="20"/>
        </w:rPr>
        <w:t xml:space="preserve"> (APR).</w:t>
      </w:r>
      <w:r w:rsidR="00032767" w:rsidRPr="00405556">
        <w:rPr>
          <w:rFonts w:ascii="Arial" w:hAnsi="Arial" w:cs="Arial"/>
          <w:sz w:val="20"/>
          <w:szCs w:val="20"/>
        </w:rPr>
        <w:t xml:space="preserve">  This focuses on answering the NZQA key evaluation questions </w:t>
      </w:r>
      <w:r w:rsidR="008265BF" w:rsidRPr="00405556">
        <w:rPr>
          <w:rFonts w:ascii="Arial" w:hAnsi="Arial" w:cs="Arial"/>
          <w:sz w:val="20"/>
          <w:szCs w:val="20"/>
        </w:rPr>
        <w:t xml:space="preserve">of </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How well do programmes and activities match the needs of learners and stakeholders?</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How well are learners guided and supported?</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How effective is the teaching?</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How well do learners achieve?</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What is the value of the outcomes for key stakeholders including learners?</w:t>
      </w:r>
    </w:p>
    <w:p w:rsidR="00D13017" w:rsidRPr="00405556" w:rsidRDefault="00EB4192" w:rsidP="008265BF">
      <w:pPr>
        <w:numPr>
          <w:ilvl w:val="0"/>
          <w:numId w:val="9"/>
        </w:numPr>
        <w:spacing w:after="120"/>
        <w:rPr>
          <w:rFonts w:ascii="Arial" w:hAnsi="Arial" w:cs="Arial"/>
          <w:sz w:val="20"/>
          <w:szCs w:val="20"/>
        </w:rPr>
      </w:pPr>
      <w:r w:rsidRPr="00405556">
        <w:rPr>
          <w:rFonts w:ascii="Arial" w:hAnsi="Arial" w:cs="Arial"/>
          <w:sz w:val="20"/>
          <w:szCs w:val="20"/>
        </w:rPr>
        <w:t>How effective are governance and management in supporting educational achievement?</w:t>
      </w:r>
    </w:p>
    <w:p w:rsidR="008265BF" w:rsidRPr="00405556" w:rsidRDefault="008265BF" w:rsidP="008265BF">
      <w:pPr>
        <w:rPr>
          <w:rFonts w:ascii="Arial" w:hAnsi="Arial" w:cs="Arial"/>
          <w:b/>
          <w:sz w:val="20"/>
          <w:szCs w:val="20"/>
        </w:rPr>
      </w:pPr>
    </w:p>
    <w:p w:rsidR="00FA3347" w:rsidRPr="00405556" w:rsidRDefault="008265BF" w:rsidP="008265BF">
      <w:pPr>
        <w:rPr>
          <w:rFonts w:ascii="Arial" w:hAnsi="Arial" w:cs="Arial"/>
          <w:b/>
          <w:sz w:val="20"/>
          <w:szCs w:val="20"/>
        </w:rPr>
      </w:pPr>
      <w:r w:rsidRPr="00405556">
        <w:rPr>
          <w:rFonts w:ascii="Arial" w:hAnsi="Arial" w:cs="Arial"/>
          <w:b/>
          <w:sz w:val="20"/>
          <w:szCs w:val="20"/>
        </w:rPr>
        <w:t>The Annual Programme Review</w:t>
      </w:r>
      <w:r w:rsidR="00561053" w:rsidRPr="00405556">
        <w:rPr>
          <w:rFonts w:ascii="Arial" w:hAnsi="Arial" w:cs="Arial"/>
          <w:b/>
          <w:sz w:val="20"/>
          <w:szCs w:val="20"/>
        </w:rPr>
        <w:t xml:space="preserve"> (APR)</w:t>
      </w:r>
    </w:p>
    <w:p w:rsidR="008265BF" w:rsidRPr="00405556" w:rsidRDefault="008265BF" w:rsidP="008265BF">
      <w:pPr>
        <w:rPr>
          <w:rFonts w:ascii="Arial" w:hAnsi="Arial" w:cs="Arial"/>
          <w:sz w:val="20"/>
          <w:szCs w:val="20"/>
        </w:rPr>
      </w:pPr>
      <w:r w:rsidRPr="00405556">
        <w:rPr>
          <w:rFonts w:ascii="Arial" w:hAnsi="Arial" w:cs="Arial"/>
          <w:sz w:val="20"/>
          <w:szCs w:val="20"/>
        </w:rPr>
        <w:t xml:space="preserve">The Annual Programme Review Report Template is structured with headings and question prompts.  We are interested in the “health of the programme”.  The evaluation of this is achieved through team discussion and consensus agreement.  </w:t>
      </w:r>
      <w:r w:rsidR="00E522CA" w:rsidRPr="00405556">
        <w:rPr>
          <w:rFonts w:ascii="Arial" w:hAnsi="Arial" w:cs="Arial"/>
          <w:sz w:val="20"/>
          <w:szCs w:val="20"/>
        </w:rPr>
        <w:t>An internal review of the 2009 APRs</w:t>
      </w:r>
      <w:r w:rsidRPr="00405556">
        <w:rPr>
          <w:rFonts w:ascii="Arial" w:hAnsi="Arial" w:cs="Arial"/>
          <w:sz w:val="20"/>
          <w:szCs w:val="20"/>
        </w:rPr>
        <w:t xml:space="preserve"> revealed insufficient depth </w:t>
      </w:r>
      <w:r w:rsidR="00E522CA" w:rsidRPr="00405556">
        <w:rPr>
          <w:rFonts w:ascii="Arial" w:hAnsi="Arial" w:cs="Arial"/>
          <w:sz w:val="20"/>
          <w:szCs w:val="20"/>
        </w:rPr>
        <w:t>in</w:t>
      </w:r>
      <w:r w:rsidRPr="00405556">
        <w:rPr>
          <w:rFonts w:ascii="Arial" w:hAnsi="Arial" w:cs="Arial"/>
          <w:sz w:val="20"/>
          <w:szCs w:val="20"/>
        </w:rPr>
        <w:t xml:space="preserve"> drawing together all of the components that contribute to the student learning experience and outcomes, and a lack of analysis of the </w:t>
      </w:r>
      <w:r w:rsidR="00BA5499">
        <w:rPr>
          <w:rFonts w:ascii="Arial" w:hAnsi="Arial" w:cs="Arial"/>
          <w:sz w:val="20"/>
          <w:szCs w:val="20"/>
        </w:rPr>
        <w:t>available d</w:t>
      </w:r>
      <w:r w:rsidRPr="00405556">
        <w:rPr>
          <w:rFonts w:ascii="Arial" w:hAnsi="Arial" w:cs="Arial"/>
          <w:sz w:val="20"/>
          <w:szCs w:val="20"/>
        </w:rPr>
        <w:t xml:space="preserve">ata.  What needed to happen was to move staff from the </w:t>
      </w:r>
      <w:r w:rsidR="00521DEC" w:rsidRPr="00405556">
        <w:rPr>
          <w:rFonts w:ascii="Arial" w:hAnsi="Arial" w:cs="Arial"/>
          <w:sz w:val="20"/>
          <w:szCs w:val="20"/>
        </w:rPr>
        <w:t>factual reporting thinking of “w</w:t>
      </w:r>
      <w:r w:rsidRPr="00405556">
        <w:rPr>
          <w:rFonts w:ascii="Arial" w:hAnsi="Arial" w:cs="Arial"/>
          <w:sz w:val="20"/>
          <w:szCs w:val="20"/>
        </w:rPr>
        <w:t xml:space="preserve">hat” </w:t>
      </w:r>
      <w:r w:rsidR="00C10EB7">
        <w:rPr>
          <w:rFonts w:ascii="Arial" w:hAnsi="Arial" w:cs="Arial"/>
          <w:sz w:val="20"/>
          <w:szCs w:val="20"/>
        </w:rPr>
        <w:t>and</w:t>
      </w:r>
      <w:r w:rsidRPr="00405556">
        <w:rPr>
          <w:rFonts w:ascii="Arial" w:hAnsi="Arial" w:cs="Arial"/>
          <w:sz w:val="20"/>
          <w:szCs w:val="20"/>
        </w:rPr>
        <w:t xml:space="preserve"> “so what” to “</w:t>
      </w:r>
      <w:r w:rsidR="00C10EB7">
        <w:rPr>
          <w:rFonts w:ascii="Arial" w:hAnsi="Arial" w:cs="Arial"/>
          <w:sz w:val="20"/>
          <w:szCs w:val="20"/>
        </w:rPr>
        <w:t xml:space="preserve">what, so what and </w:t>
      </w:r>
      <w:r w:rsidRPr="00405556">
        <w:rPr>
          <w:rFonts w:ascii="Arial" w:hAnsi="Arial" w:cs="Arial"/>
          <w:sz w:val="20"/>
          <w:szCs w:val="20"/>
        </w:rPr>
        <w:t>now what</w:t>
      </w:r>
      <w:r w:rsidR="00C10EB7">
        <w:rPr>
          <w:rFonts w:ascii="Arial" w:hAnsi="Arial" w:cs="Arial"/>
          <w:sz w:val="20"/>
          <w:szCs w:val="20"/>
        </w:rPr>
        <w:t>?</w:t>
      </w:r>
      <w:r w:rsidRPr="00405556">
        <w:rPr>
          <w:rFonts w:ascii="Arial" w:hAnsi="Arial" w:cs="Arial"/>
          <w:sz w:val="20"/>
          <w:szCs w:val="20"/>
        </w:rPr>
        <w:t xml:space="preserve">” (King, 2008).  </w:t>
      </w:r>
    </w:p>
    <w:p w:rsidR="008265BF" w:rsidRPr="00405556" w:rsidRDefault="008265BF" w:rsidP="008265BF">
      <w:pPr>
        <w:rPr>
          <w:rFonts w:ascii="Arial" w:hAnsi="Arial" w:cs="Arial"/>
          <w:sz w:val="20"/>
          <w:szCs w:val="20"/>
        </w:rPr>
      </w:pPr>
      <w:r w:rsidRPr="00405556">
        <w:rPr>
          <w:rFonts w:ascii="Arial" w:hAnsi="Arial" w:cs="Arial"/>
          <w:sz w:val="20"/>
          <w:szCs w:val="20"/>
        </w:rPr>
        <w:t>In late 2009 we held workshops to develop report writing skills</w:t>
      </w:r>
      <w:r w:rsidR="00E522CA" w:rsidRPr="00405556">
        <w:rPr>
          <w:rFonts w:ascii="Arial" w:hAnsi="Arial" w:cs="Arial"/>
          <w:sz w:val="20"/>
          <w:szCs w:val="20"/>
        </w:rPr>
        <w:t>.  An earlier paper (Hausman</w:t>
      </w:r>
      <w:r w:rsidR="00405556" w:rsidRPr="00405556">
        <w:rPr>
          <w:rFonts w:ascii="Arial" w:hAnsi="Arial" w:cs="Arial"/>
          <w:sz w:val="20"/>
          <w:szCs w:val="20"/>
        </w:rPr>
        <w:t>, 2010</w:t>
      </w:r>
      <w:r w:rsidR="00E522CA" w:rsidRPr="00405556">
        <w:rPr>
          <w:rFonts w:ascii="Arial" w:hAnsi="Arial" w:cs="Arial"/>
          <w:sz w:val="20"/>
          <w:szCs w:val="20"/>
        </w:rPr>
        <w:t xml:space="preserve">) reported on mind mapping techniques used to encourage collaborative </w:t>
      </w:r>
      <w:r w:rsidR="00D0576A" w:rsidRPr="00405556">
        <w:rPr>
          <w:rFonts w:ascii="Arial" w:hAnsi="Arial" w:cs="Arial"/>
          <w:sz w:val="20"/>
          <w:szCs w:val="20"/>
        </w:rPr>
        <w:t>discussion.</w:t>
      </w:r>
      <w:r w:rsidR="00D0576A">
        <w:rPr>
          <w:rFonts w:ascii="Arial" w:hAnsi="Arial" w:cs="Arial"/>
          <w:sz w:val="20"/>
          <w:szCs w:val="20"/>
        </w:rPr>
        <w:t xml:space="preserve">  The</w:t>
      </w:r>
      <w:r w:rsidR="00E522CA" w:rsidRPr="00405556">
        <w:rPr>
          <w:rFonts w:ascii="Arial" w:hAnsi="Arial" w:cs="Arial"/>
          <w:sz w:val="20"/>
          <w:szCs w:val="20"/>
        </w:rPr>
        <w:t>s</w:t>
      </w:r>
      <w:r w:rsidR="00D0576A">
        <w:rPr>
          <w:rFonts w:ascii="Arial" w:hAnsi="Arial" w:cs="Arial"/>
          <w:sz w:val="20"/>
          <w:szCs w:val="20"/>
        </w:rPr>
        <w:t>e</w:t>
      </w:r>
      <w:r w:rsidR="00E522CA" w:rsidRPr="00405556">
        <w:rPr>
          <w:rFonts w:ascii="Arial" w:hAnsi="Arial" w:cs="Arial"/>
          <w:sz w:val="20"/>
          <w:szCs w:val="20"/>
        </w:rPr>
        <w:t xml:space="preserve"> </w:t>
      </w:r>
      <w:r w:rsidR="00405556" w:rsidRPr="00405556">
        <w:rPr>
          <w:rFonts w:ascii="Arial" w:hAnsi="Arial" w:cs="Arial"/>
          <w:sz w:val="20"/>
          <w:szCs w:val="20"/>
        </w:rPr>
        <w:t>technique</w:t>
      </w:r>
      <w:r w:rsidR="00D0576A">
        <w:rPr>
          <w:rFonts w:ascii="Arial" w:hAnsi="Arial" w:cs="Arial"/>
          <w:sz w:val="20"/>
          <w:szCs w:val="20"/>
        </w:rPr>
        <w:t>s</w:t>
      </w:r>
      <w:r w:rsidR="00405556" w:rsidRPr="00405556">
        <w:rPr>
          <w:rFonts w:ascii="Arial" w:hAnsi="Arial" w:cs="Arial"/>
          <w:sz w:val="20"/>
          <w:szCs w:val="20"/>
        </w:rPr>
        <w:t xml:space="preserve"> </w:t>
      </w:r>
      <w:r w:rsidR="00D0576A">
        <w:rPr>
          <w:rFonts w:ascii="Arial" w:hAnsi="Arial" w:cs="Arial"/>
          <w:sz w:val="20"/>
          <w:szCs w:val="20"/>
        </w:rPr>
        <w:t>were</w:t>
      </w:r>
      <w:r w:rsidR="00E522CA" w:rsidRPr="00405556">
        <w:rPr>
          <w:rFonts w:ascii="Arial" w:hAnsi="Arial" w:cs="Arial"/>
          <w:sz w:val="20"/>
          <w:szCs w:val="20"/>
        </w:rPr>
        <w:t xml:space="preserve"> then </w:t>
      </w:r>
      <w:r w:rsidR="00BA5499" w:rsidRPr="00405556">
        <w:rPr>
          <w:rFonts w:ascii="Arial" w:hAnsi="Arial" w:cs="Arial"/>
          <w:sz w:val="20"/>
          <w:szCs w:val="20"/>
        </w:rPr>
        <w:t>applied in</w:t>
      </w:r>
      <w:r w:rsidR="00405556" w:rsidRPr="00405556">
        <w:rPr>
          <w:rFonts w:ascii="Arial" w:hAnsi="Arial" w:cs="Arial"/>
          <w:sz w:val="20"/>
          <w:szCs w:val="20"/>
        </w:rPr>
        <w:t xml:space="preserve"> </w:t>
      </w:r>
      <w:r w:rsidR="00E522CA" w:rsidRPr="00405556">
        <w:rPr>
          <w:rFonts w:ascii="Arial" w:hAnsi="Arial" w:cs="Arial"/>
          <w:sz w:val="20"/>
          <w:szCs w:val="20"/>
        </w:rPr>
        <w:t xml:space="preserve"> group meetings, both on and off campus , to discuss what had worked well, what had not and what needed to change.   </w:t>
      </w:r>
      <w:r w:rsidRPr="00405556">
        <w:rPr>
          <w:rFonts w:ascii="Arial" w:hAnsi="Arial" w:cs="Arial"/>
          <w:sz w:val="20"/>
          <w:szCs w:val="20"/>
        </w:rPr>
        <w:t xml:space="preserve"> </w:t>
      </w:r>
      <w:r w:rsidR="00E522CA" w:rsidRPr="00405556">
        <w:rPr>
          <w:rFonts w:ascii="Arial" w:hAnsi="Arial" w:cs="Arial"/>
          <w:sz w:val="20"/>
          <w:szCs w:val="20"/>
        </w:rPr>
        <w:t>Overall</w:t>
      </w:r>
      <w:r w:rsidR="00405556" w:rsidRPr="00405556">
        <w:rPr>
          <w:rFonts w:ascii="Arial" w:hAnsi="Arial" w:cs="Arial"/>
          <w:sz w:val="20"/>
          <w:szCs w:val="20"/>
        </w:rPr>
        <w:t>,</w:t>
      </w:r>
      <w:r w:rsidR="00E522CA" w:rsidRPr="00405556">
        <w:rPr>
          <w:rFonts w:ascii="Arial" w:hAnsi="Arial" w:cs="Arial"/>
          <w:sz w:val="20"/>
          <w:szCs w:val="20"/>
        </w:rPr>
        <w:t xml:space="preserve"> </w:t>
      </w:r>
      <w:r w:rsidR="00D0576A" w:rsidRPr="00405556">
        <w:rPr>
          <w:rFonts w:ascii="Arial" w:hAnsi="Arial" w:cs="Arial"/>
          <w:sz w:val="20"/>
          <w:szCs w:val="20"/>
        </w:rPr>
        <w:t>this promoted</w:t>
      </w:r>
      <w:r w:rsidRPr="00405556">
        <w:rPr>
          <w:rFonts w:ascii="Arial" w:hAnsi="Arial" w:cs="Arial"/>
          <w:sz w:val="20"/>
          <w:szCs w:val="20"/>
        </w:rPr>
        <w:t xml:space="preserve"> a more collaborative approach to discussing the health of the programme.  We achieved some change, but not enough.</w:t>
      </w:r>
    </w:p>
    <w:p w:rsidR="00E54590" w:rsidRDefault="008762A8" w:rsidP="00E54590">
      <w:pPr>
        <w:rPr>
          <w:rFonts w:ascii="Arial" w:hAnsi="Arial" w:cs="Arial"/>
          <w:sz w:val="20"/>
          <w:szCs w:val="20"/>
          <w:lang w:val="en-NZ"/>
        </w:rPr>
      </w:pPr>
      <w:r w:rsidRPr="00405556">
        <w:rPr>
          <w:rFonts w:ascii="Arial" w:hAnsi="Arial" w:cs="Arial"/>
          <w:sz w:val="20"/>
          <w:szCs w:val="20"/>
        </w:rPr>
        <w:t>Robbins</w:t>
      </w:r>
      <w:r w:rsidR="00521DEC" w:rsidRPr="00405556">
        <w:rPr>
          <w:rFonts w:ascii="Arial" w:hAnsi="Arial" w:cs="Arial"/>
          <w:sz w:val="20"/>
          <w:szCs w:val="20"/>
        </w:rPr>
        <w:t xml:space="preserve"> (2011) </w:t>
      </w:r>
      <w:r w:rsidRPr="00405556">
        <w:rPr>
          <w:rFonts w:ascii="Arial" w:hAnsi="Arial" w:cs="Arial"/>
          <w:sz w:val="20"/>
          <w:szCs w:val="20"/>
        </w:rPr>
        <w:t>in his leadership teaching noted “if you always do what you’ve always done, you’ll always get what you always got”</w:t>
      </w:r>
      <w:r w:rsidR="00D76603" w:rsidRPr="00405556">
        <w:rPr>
          <w:rFonts w:ascii="Arial" w:hAnsi="Arial" w:cs="Arial"/>
          <w:sz w:val="20"/>
          <w:szCs w:val="20"/>
        </w:rPr>
        <w:t xml:space="preserve">. </w:t>
      </w:r>
      <w:r w:rsidR="00521DEC" w:rsidRPr="00405556">
        <w:rPr>
          <w:rFonts w:ascii="Arial" w:hAnsi="Arial" w:cs="Arial"/>
          <w:sz w:val="20"/>
          <w:szCs w:val="20"/>
        </w:rPr>
        <w:t xml:space="preserve">  </w:t>
      </w:r>
      <w:r w:rsidRPr="00405556">
        <w:rPr>
          <w:rFonts w:ascii="Arial" w:hAnsi="Arial" w:cs="Arial"/>
          <w:sz w:val="20"/>
          <w:szCs w:val="20"/>
        </w:rPr>
        <w:t xml:space="preserve">This </w:t>
      </w:r>
      <w:r w:rsidR="008265BF" w:rsidRPr="00405556">
        <w:rPr>
          <w:rFonts w:ascii="Arial" w:hAnsi="Arial" w:cs="Arial"/>
          <w:sz w:val="20"/>
          <w:szCs w:val="20"/>
        </w:rPr>
        <w:t xml:space="preserve">comment </w:t>
      </w:r>
      <w:r w:rsidRPr="00405556">
        <w:rPr>
          <w:rFonts w:ascii="Arial" w:hAnsi="Arial" w:cs="Arial"/>
          <w:sz w:val="20"/>
          <w:szCs w:val="20"/>
        </w:rPr>
        <w:t xml:space="preserve">is a </w:t>
      </w:r>
      <w:r w:rsidR="008265BF" w:rsidRPr="00405556">
        <w:rPr>
          <w:rFonts w:ascii="Arial" w:hAnsi="Arial" w:cs="Arial"/>
          <w:sz w:val="20"/>
          <w:szCs w:val="20"/>
        </w:rPr>
        <w:t xml:space="preserve">clear </w:t>
      </w:r>
      <w:r w:rsidRPr="00405556">
        <w:rPr>
          <w:rFonts w:ascii="Arial" w:hAnsi="Arial" w:cs="Arial"/>
          <w:sz w:val="20"/>
          <w:szCs w:val="20"/>
        </w:rPr>
        <w:t xml:space="preserve">call </w:t>
      </w:r>
      <w:r w:rsidR="008265BF" w:rsidRPr="00405556">
        <w:rPr>
          <w:rFonts w:ascii="Arial" w:hAnsi="Arial" w:cs="Arial"/>
          <w:sz w:val="20"/>
          <w:szCs w:val="20"/>
        </w:rPr>
        <w:t>that if you want something to change, then you need to change the approaches.</w:t>
      </w:r>
      <w:r w:rsidRPr="00405556">
        <w:rPr>
          <w:rFonts w:ascii="Arial" w:hAnsi="Arial" w:cs="Arial"/>
          <w:sz w:val="20"/>
          <w:szCs w:val="20"/>
        </w:rPr>
        <w:t xml:space="preserve"> </w:t>
      </w:r>
      <w:r w:rsidR="008265BF" w:rsidRPr="00405556">
        <w:rPr>
          <w:rFonts w:ascii="Arial" w:hAnsi="Arial" w:cs="Arial"/>
          <w:sz w:val="20"/>
          <w:szCs w:val="20"/>
        </w:rPr>
        <w:t xml:space="preserve">  </w:t>
      </w:r>
      <w:r w:rsidRPr="00405556">
        <w:rPr>
          <w:rFonts w:ascii="Arial" w:hAnsi="Arial" w:cs="Arial"/>
          <w:sz w:val="20"/>
          <w:szCs w:val="20"/>
        </w:rPr>
        <w:t xml:space="preserve">In 2010 we made some changes to the timing of receiving these </w:t>
      </w:r>
      <w:r w:rsidR="00022B88" w:rsidRPr="00405556">
        <w:rPr>
          <w:rFonts w:ascii="Arial" w:hAnsi="Arial" w:cs="Arial"/>
          <w:sz w:val="20"/>
          <w:szCs w:val="20"/>
        </w:rPr>
        <w:t>reports</w:t>
      </w:r>
      <w:r w:rsidR="00BA5499">
        <w:rPr>
          <w:rFonts w:ascii="Arial" w:hAnsi="Arial" w:cs="Arial"/>
          <w:sz w:val="20"/>
          <w:szCs w:val="20"/>
        </w:rPr>
        <w:t xml:space="preserve"> in that we required all 2009 APR reports to be completed and presented to the School Board of Studies in March 2010</w:t>
      </w:r>
      <w:r w:rsidR="00022B88" w:rsidRPr="00405556">
        <w:rPr>
          <w:rFonts w:ascii="Arial" w:hAnsi="Arial" w:cs="Arial"/>
          <w:sz w:val="20"/>
          <w:szCs w:val="20"/>
        </w:rPr>
        <w:t>,</w:t>
      </w:r>
      <w:r w:rsidRPr="00405556">
        <w:rPr>
          <w:rFonts w:ascii="Arial" w:hAnsi="Arial" w:cs="Arial"/>
          <w:sz w:val="20"/>
          <w:szCs w:val="20"/>
        </w:rPr>
        <w:t xml:space="preserve"> </w:t>
      </w:r>
      <w:r w:rsidR="00BA5499">
        <w:rPr>
          <w:rFonts w:ascii="Arial" w:hAnsi="Arial" w:cs="Arial"/>
          <w:sz w:val="20"/>
          <w:szCs w:val="20"/>
        </w:rPr>
        <w:t>We also made a change</w:t>
      </w:r>
      <w:r w:rsidRPr="00405556">
        <w:rPr>
          <w:rFonts w:ascii="Arial" w:hAnsi="Arial" w:cs="Arial"/>
          <w:sz w:val="20"/>
          <w:szCs w:val="20"/>
        </w:rPr>
        <w:t xml:space="preserve"> to the way different staff members were involved. </w:t>
      </w:r>
      <w:r w:rsidR="0079578B" w:rsidRPr="00405556">
        <w:rPr>
          <w:rFonts w:ascii="Arial" w:hAnsi="Arial" w:cs="Arial"/>
          <w:sz w:val="20"/>
          <w:szCs w:val="20"/>
        </w:rPr>
        <w:t xml:space="preserve"> </w:t>
      </w:r>
      <w:r w:rsidR="00E54590" w:rsidRPr="00405556">
        <w:rPr>
          <w:rFonts w:ascii="Arial" w:hAnsi="Arial" w:cs="Arial"/>
          <w:sz w:val="20"/>
          <w:szCs w:val="20"/>
        </w:rPr>
        <w:t xml:space="preserve">  </w:t>
      </w:r>
      <w:r w:rsidR="00E54590" w:rsidRPr="00405556">
        <w:rPr>
          <w:rFonts w:ascii="Arial" w:hAnsi="Arial" w:cs="Arial"/>
          <w:sz w:val="20"/>
          <w:szCs w:val="20"/>
          <w:lang w:val="en-NZ"/>
        </w:rPr>
        <w:t>Two further layers of analysis were then applied. (</w:t>
      </w:r>
      <w:r w:rsidR="00022B88" w:rsidRPr="00405556">
        <w:rPr>
          <w:rFonts w:ascii="Arial" w:hAnsi="Arial" w:cs="Arial"/>
          <w:sz w:val="20"/>
          <w:szCs w:val="20"/>
          <w:lang w:val="en-NZ"/>
        </w:rPr>
        <w:t>See</w:t>
      </w:r>
      <w:r w:rsidR="00E54590" w:rsidRPr="00405556">
        <w:rPr>
          <w:rFonts w:ascii="Arial" w:hAnsi="Arial" w:cs="Arial"/>
          <w:sz w:val="20"/>
          <w:szCs w:val="20"/>
          <w:lang w:val="en-NZ"/>
        </w:rPr>
        <w:t xml:space="preserve"> </w:t>
      </w:r>
      <w:r w:rsidR="00D0576A">
        <w:rPr>
          <w:rFonts w:ascii="Arial" w:hAnsi="Arial" w:cs="Arial"/>
          <w:sz w:val="20"/>
          <w:szCs w:val="20"/>
          <w:lang w:val="en-NZ"/>
        </w:rPr>
        <w:t>f</w:t>
      </w:r>
      <w:r w:rsidR="00E54590" w:rsidRPr="00405556">
        <w:rPr>
          <w:rFonts w:ascii="Arial" w:hAnsi="Arial" w:cs="Arial"/>
          <w:sz w:val="20"/>
          <w:szCs w:val="20"/>
          <w:lang w:val="en-NZ"/>
        </w:rPr>
        <w:t>ig 1).</w:t>
      </w:r>
    </w:p>
    <w:p w:rsidR="00405556" w:rsidRPr="00405556" w:rsidRDefault="00405556" w:rsidP="00E54590">
      <w:pPr>
        <w:rPr>
          <w:rFonts w:ascii="Arial" w:hAnsi="Arial" w:cs="Arial"/>
          <w:sz w:val="20"/>
          <w:szCs w:val="20"/>
          <w:lang w:val="en-NZ"/>
        </w:rPr>
      </w:pPr>
    </w:p>
    <w:p w:rsidR="00405556" w:rsidRDefault="00405556" w:rsidP="008762A8">
      <w:pPr>
        <w:rPr>
          <w:rFonts w:ascii="Arial" w:hAnsi="Arial" w:cs="Arial"/>
          <w:sz w:val="20"/>
          <w:szCs w:val="20"/>
        </w:rPr>
        <w:sectPr w:rsidR="00405556" w:rsidSect="006C224C">
          <w:footerReference w:type="default" r:id="rId9"/>
          <w:pgSz w:w="12240" w:h="15840"/>
          <w:pgMar w:top="1440" w:right="1440" w:bottom="1440" w:left="1440" w:header="720" w:footer="720" w:gutter="0"/>
          <w:cols w:space="720"/>
          <w:docGrid w:linePitch="360"/>
        </w:sectPr>
      </w:pPr>
    </w:p>
    <w:p w:rsidR="00B83EE0" w:rsidRPr="00405556" w:rsidRDefault="00B83EE0" w:rsidP="008762A8">
      <w:pPr>
        <w:rPr>
          <w:rFonts w:ascii="Arial" w:hAnsi="Arial" w:cs="Arial"/>
          <w:sz w:val="20"/>
          <w:szCs w:val="20"/>
        </w:rPr>
      </w:pPr>
    </w:p>
    <w:p w:rsidR="00B932E4" w:rsidRPr="00405556" w:rsidRDefault="00B932E4" w:rsidP="008762A8">
      <w:pPr>
        <w:rPr>
          <w:rFonts w:ascii="Arial" w:hAnsi="Arial" w:cs="Arial"/>
          <w:sz w:val="20"/>
          <w:szCs w:val="20"/>
        </w:rPr>
        <w:sectPr w:rsidR="00B932E4" w:rsidRPr="00405556" w:rsidSect="006C224C">
          <w:pgSz w:w="12240" w:h="15840"/>
          <w:pgMar w:top="1440" w:right="1440" w:bottom="1440" w:left="1440" w:header="720" w:footer="720" w:gutter="0"/>
          <w:cols w:space="720"/>
          <w:docGrid w:linePitch="360"/>
        </w:sectPr>
      </w:pPr>
    </w:p>
    <w:p w:rsidR="00405556" w:rsidRDefault="00022B88" w:rsidP="008762A8">
      <w:pPr>
        <w:rPr>
          <w:rFonts w:ascii="Arial" w:hAnsi="Arial" w:cs="Arial"/>
          <w:sz w:val="20"/>
          <w:szCs w:val="20"/>
        </w:rPr>
      </w:pPr>
      <w:r w:rsidRPr="00405556">
        <w:rPr>
          <w:rFonts w:ascii="Arial" w:hAnsi="Arial" w:cs="Arial"/>
          <w:sz w:val="20"/>
          <w:szCs w:val="20"/>
        </w:rPr>
        <w:t>Fig 1 MODEL OF THE LAYERED APPROACH TO ANNUAL PROGRAMME REVIEW</w:t>
      </w:r>
      <w:r w:rsidR="00CF6523">
        <w:rPr>
          <w:rFonts w:ascii="Arial" w:hAnsi="Arial" w:cs="Arial"/>
          <w:noProof/>
          <w:sz w:val="20"/>
          <w:szCs w:val="20"/>
        </w:rPr>
        <mc:AlternateContent>
          <mc:Choice Requires="wps">
            <w:drawing>
              <wp:anchor distT="0" distB="0" distL="114300" distR="114300" simplePos="0" relativeHeight="251671552" behindDoc="0" locked="0" layoutInCell="0" allowOverlap="1">
                <wp:simplePos x="0" y="0"/>
                <wp:positionH relativeFrom="margin">
                  <wp:posOffset>4354195</wp:posOffset>
                </wp:positionH>
                <wp:positionV relativeFrom="margin">
                  <wp:posOffset>1234440</wp:posOffset>
                </wp:positionV>
                <wp:extent cx="1292860" cy="4442460"/>
                <wp:effectExtent l="10795" t="129540" r="325120" b="9525"/>
                <wp:wrapSquare wrapText="bothSides"/>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860" cy="4442460"/>
                        </a:xfrm>
                        <a:prstGeom prst="roundRect">
                          <a:avLst>
                            <a:gd name="adj" fmla="val 10394"/>
                          </a:avLst>
                        </a:prstGeom>
                        <a:solidFill>
                          <a:schemeClr val="accent1">
                            <a:lumMod val="100000"/>
                            <a:lumOff val="0"/>
                          </a:schemeClr>
                        </a:solidFill>
                        <a:ln w="9525">
                          <a:solidFill>
                            <a:schemeClr val="accent1">
                              <a:lumMod val="100000"/>
                              <a:lumOff val="0"/>
                            </a:schemeClr>
                          </a:solidFill>
                          <a:round/>
                          <a:headEnd/>
                          <a:tailEnd/>
                        </a:ln>
                        <a:effectLst>
                          <a:outerShdw dist="660034" dir="20934377" sx="75000" sy="75000" algn="tl" rotWithShape="0">
                            <a:schemeClr val="bg1">
                              <a:lumMod val="75000"/>
                              <a:lumOff val="0"/>
                              <a:alpha val="50000"/>
                            </a:schemeClr>
                          </a:outerShdw>
                        </a:effectLst>
                      </wps:spPr>
                      <wps:txbx>
                        <w:txbxContent>
                          <w:p w:rsidR="00380350" w:rsidRPr="00B83EE0" w:rsidRDefault="00380350" w:rsidP="00E54590">
                            <w:pPr>
                              <w:rPr>
                                <w:color w:val="FFFFFF" w:themeColor="background1"/>
                                <w:sz w:val="18"/>
                                <w:szCs w:val="18"/>
                              </w:rPr>
                            </w:pPr>
                            <w:r w:rsidRPr="00B83EE0">
                              <w:rPr>
                                <w:color w:val="FFFFFF" w:themeColor="background1"/>
                                <w:sz w:val="18"/>
                                <w:szCs w:val="18"/>
                              </w:rPr>
                              <w:t xml:space="preserve">Cross Institutional evaluation of programme health by reflecting on the Four Head of </w:t>
                            </w:r>
                            <w:r w:rsidR="00D0576A">
                              <w:rPr>
                                <w:color w:val="FFFFFF" w:themeColor="background1"/>
                                <w:sz w:val="18"/>
                                <w:szCs w:val="18"/>
                              </w:rPr>
                              <w:t>School</w:t>
                            </w:r>
                            <w:r w:rsidRPr="00BC6C0C">
                              <w:rPr>
                                <w:color w:val="FFFFFF" w:themeColor="background1"/>
                                <w:sz w:val="36"/>
                                <w:szCs w:val="18"/>
                              </w:rPr>
                              <w:t xml:space="preserve"> </w:t>
                            </w:r>
                            <w:r w:rsidRPr="00B83EE0">
                              <w:rPr>
                                <w:color w:val="FFFFFF" w:themeColor="background1"/>
                                <w:sz w:val="18"/>
                                <w:szCs w:val="18"/>
                              </w:rPr>
                              <w:t>reports and the  team annual programme review</w:t>
                            </w:r>
                            <w:r w:rsidRPr="00BC6C0C">
                              <w:rPr>
                                <w:color w:val="FFFFFF" w:themeColor="background1"/>
                                <w:sz w:val="36"/>
                                <w:szCs w:val="18"/>
                              </w:rPr>
                              <w:t xml:space="preserve"> </w:t>
                            </w:r>
                            <w:r w:rsidRPr="00B83EE0">
                              <w:rPr>
                                <w:color w:val="FFFFFF" w:themeColor="background1"/>
                                <w:sz w:val="18"/>
                                <w:szCs w:val="18"/>
                              </w:rPr>
                              <w:t>reports</w:t>
                            </w:r>
                          </w:p>
                        </w:txbxContent>
                      </wps:txbx>
                      <wps:bodyPr rot="0" vert="vert270"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3" o:spid="_x0000_s1026" style="position:absolute;margin-left:342.85pt;margin-top:97.2pt;width:101.8pt;height:349.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" o:allowincell="f" fillcolor="#4f81bd [3204]" strokecolor="#4f81bd [3204]">
                <v:shadow on="t" type="perspective" color="#bfbfbf [2412]" opacity=".5" origin="-.5,-.5" offset="51pt,-10pt" matrix=".75,,,.75"/>
                <v:textbox style="layout-flow:vertical;mso-layout-flow-alt:bottom-to-top" inset="18pt,18pt,18pt,18pt">
                  <w:txbxContent>
                    <w:p w:rsidR="00380350" w:rsidRPr="00B83EE0" w:rsidRDefault="00380350" w:rsidP="00E54590">
                      <w:pPr>
                        <w:rPr>
                          <w:color w:val="FFFFFF" w:themeColor="background1"/>
                          <w:sz w:val="18"/>
                          <w:szCs w:val="18"/>
                        </w:rPr>
                      </w:pPr>
                      <w:r w:rsidRPr="00B83EE0">
                        <w:rPr>
                          <w:color w:val="FFFFFF" w:themeColor="background1"/>
                          <w:sz w:val="18"/>
                          <w:szCs w:val="18"/>
                        </w:rPr>
                        <w:t xml:space="preserve">Cross Institutional evaluation of programme health by reflecting on the Four Head of </w:t>
                      </w:r>
                      <w:r w:rsidR="00D0576A">
                        <w:rPr>
                          <w:color w:val="FFFFFF" w:themeColor="background1"/>
                          <w:sz w:val="18"/>
                          <w:szCs w:val="18"/>
                        </w:rPr>
                        <w:t>School</w:t>
                      </w:r>
                      <w:r w:rsidRPr="00BC6C0C">
                        <w:rPr>
                          <w:color w:val="FFFFFF" w:themeColor="background1"/>
                          <w:sz w:val="36"/>
                          <w:szCs w:val="18"/>
                        </w:rPr>
                        <w:t xml:space="preserve"> </w:t>
                      </w:r>
                      <w:r w:rsidRPr="00B83EE0">
                        <w:rPr>
                          <w:color w:val="FFFFFF" w:themeColor="background1"/>
                          <w:sz w:val="18"/>
                          <w:szCs w:val="18"/>
                        </w:rPr>
                        <w:t>reports and the  team annual programme review</w:t>
                      </w:r>
                      <w:r w:rsidRPr="00BC6C0C">
                        <w:rPr>
                          <w:color w:val="FFFFFF" w:themeColor="background1"/>
                          <w:sz w:val="36"/>
                          <w:szCs w:val="18"/>
                        </w:rPr>
                        <w:t xml:space="preserve"> </w:t>
                      </w:r>
                      <w:r w:rsidRPr="00B83EE0">
                        <w:rPr>
                          <w:color w:val="FFFFFF" w:themeColor="background1"/>
                          <w:sz w:val="18"/>
                          <w:szCs w:val="18"/>
                        </w:rPr>
                        <w:t>reports</w:t>
                      </w:r>
                    </w:p>
                  </w:txbxContent>
                </v:textbox>
                <w10:wrap type="square" anchorx="margin" anchory="margin"/>
              </v:roundrect>
            </w:pict>
          </mc:Fallback>
        </mc:AlternateContent>
      </w:r>
    </w:p>
    <w:p w:rsidR="00405556" w:rsidRDefault="00CF6523" w:rsidP="008762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margin">
                  <wp:posOffset>2741930</wp:posOffset>
                </wp:positionH>
                <wp:positionV relativeFrom="page">
                  <wp:posOffset>1720850</wp:posOffset>
                </wp:positionV>
                <wp:extent cx="594360" cy="2372360"/>
                <wp:effectExtent l="5080" t="0" r="3810" b="5715"/>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360" cy="2372360"/>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380350" w:rsidRDefault="00380350">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Head of School Applied Science– read all APRs and produced a Health of the School Report</w:t>
                            </w:r>
                          </w:p>
                        </w:txbxContent>
                      </wps:txbx>
                      <wps:bodyPr rot="0" vert="horz" wrap="square" lIns="91440" tIns="45720" rIns="91440" bIns="45720" anchor="ctr" anchorCtr="0" upright="1">
                        <a:spAutoFit/>
                      </wps:bodyPr>
                    </wps:wsp>
                  </a:graphicData>
                </a:graphic>
                <wp14:sizeRelH relativeFrom="margin">
                  <wp14:pctWidth>40000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7" type="#_x0000_t186" style="position:absolute;margin-left:215.9pt;margin-top:135.5pt;width:46.8pt;height:186.8pt;rotation:90;z-index:251664384;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" o:allowincell="f" filled="t" fillcolor="#1f497d [3215]" stroked="f" strokecolor="#5c83b4" strokeweight=".25pt">
                <v:shadow opacity=".5"/>
                <v:textbox style="mso-fit-shape-to-text:t">
                  <w:txbxContent>
                    <w:p w:rsidR="00380350" w:rsidRDefault="00380350">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Head of School Applied Science– read all APRs and produced a Health of the School Report</w:t>
                      </w:r>
                    </w:p>
                  </w:txbxContent>
                </v:textbox>
                <w10:wrap type="square" anchorx="margin" anchory="page"/>
              </v:shape>
            </w:pict>
          </mc:Fallback>
        </mc:AlternateContent>
      </w:r>
    </w:p>
    <w:p w:rsidR="00405556" w:rsidRDefault="00405556" w:rsidP="008762A8">
      <w:pPr>
        <w:rPr>
          <w:rFonts w:ascii="Arial" w:hAnsi="Arial" w:cs="Arial"/>
          <w:sz w:val="20"/>
          <w:szCs w:val="20"/>
        </w:rPr>
      </w:pPr>
    </w:p>
    <w:p w:rsidR="00405556" w:rsidRDefault="00405556" w:rsidP="008762A8">
      <w:pPr>
        <w:rPr>
          <w:rFonts w:ascii="Arial" w:hAnsi="Arial" w:cs="Arial"/>
          <w:sz w:val="20"/>
          <w:szCs w:val="20"/>
        </w:rPr>
      </w:pPr>
    </w:p>
    <w:p w:rsidR="00405556" w:rsidRDefault="00CF6523" w:rsidP="008762A8">
      <w:pPr>
        <w:rPr>
          <w:rFonts w:ascii="Arial" w:hAnsi="Arial" w:cs="Arial"/>
          <w:sz w:val="20"/>
          <w:szCs w:val="20"/>
        </w:rPr>
      </w:pPr>
      <w:r>
        <w:rPr>
          <w:rFonts w:ascii="Arial" w:hAnsi="Arial" w:cs="Arial"/>
          <w:noProof/>
          <w:sz w:val="20"/>
          <w:szCs w:val="20"/>
        </w:rPr>
        <mc:AlternateContent>
          <mc:Choice Requires="wps">
            <w:drawing>
              <wp:anchor distT="0" distB="228600" distL="114300" distR="114300" simplePos="0" relativeHeight="251676672" behindDoc="1" locked="0" layoutInCell="0" allowOverlap="1">
                <wp:simplePos x="0" y="0"/>
                <wp:positionH relativeFrom="margin">
                  <wp:posOffset>64770</wp:posOffset>
                </wp:positionH>
                <wp:positionV relativeFrom="margin">
                  <wp:posOffset>2503170</wp:posOffset>
                </wp:positionV>
                <wp:extent cx="1480185" cy="2143125"/>
                <wp:effectExtent l="45720" t="45720" r="45720" b="40005"/>
                <wp:wrapTight wrapText="bothSides">
                  <wp:wrapPolygon edited="0">
                    <wp:start x="9804" y="-365"/>
                    <wp:lineTo x="8534" y="-275"/>
                    <wp:lineTo x="5078" y="819"/>
                    <wp:lineTo x="4355" y="1542"/>
                    <wp:lineTo x="3086" y="2541"/>
                    <wp:lineTo x="1724" y="3994"/>
                    <wp:lineTo x="815" y="5446"/>
                    <wp:lineTo x="185" y="6899"/>
                    <wp:lineTo x="-269" y="8352"/>
                    <wp:lineTo x="-361" y="9805"/>
                    <wp:lineTo x="-361" y="12704"/>
                    <wp:lineTo x="0" y="14157"/>
                    <wp:lineTo x="547" y="15610"/>
                    <wp:lineTo x="1362" y="17062"/>
                    <wp:lineTo x="2539" y="18515"/>
                    <wp:lineTo x="4355" y="20058"/>
                    <wp:lineTo x="6987" y="21421"/>
                    <wp:lineTo x="7265" y="21510"/>
                    <wp:lineTo x="9257" y="21875"/>
                    <wp:lineTo x="9711" y="21875"/>
                    <wp:lineTo x="11796" y="21875"/>
                    <wp:lineTo x="12343" y="21875"/>
                    <wp:lineTo x="14159" y="21510"/>
                    <wp:lineTo x="14428" y="21421"/>
                    <wp:lineTo x="17245" y="20058"/>
                    <wp:lineTo x="18968" y="18515"/>
                    <wp:lineTo x="20238" y="17062"/>
                    <wp:lineTo x="20961" y="15610"/>
                    <wp:lineTo x="21507" y="14157"/>
                    <wp:lineTo x="21869" y="12704"/>
                    <wp:lineTo x="21961" y="11251"/>
                    <wp:lineTo x="21961" y="9805"/>
                    <wp:lineTo x="21785" y="8352"/>
                    <wp:lineTo x="21331" y="6899"/>
                    <wp:lineTo x="20692" y="5446"/>
                    <wp:lineTo x="19784" y="3994"/>
                    <wp:lineTo x="18514" y="2541"/>
                    <wp:lineTo x="17152" y="1542"/>
                    <wp:lineTo x="16522" y="819"/>
                    <wp:lineTo x="12982" y="-275"/>
                    <wp:lineTo x="11703" y="-365"/>
                    <wp:lineTo x="9804" y="-365"/>
                  </wp:wrapPolygon>
                </wp:wrapTight>
                <wp:docPr id="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0185" cy="2143125"/>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rsidR="00380350" w:rsidRPr="00183C89" w:rsidRDefault="00380350">
                            <w:pPr>
                              <w:jc w:val="center"/>
                              <w:rPr>
                                <w:i/>
                                <w:iCs/>
                                <w:color w:val="FFFFFF" w:themeColor="background1"/>
                                <w:szCs w:val="28"/>
                              </w:rPr>
                            </w:pPr>
                            <w:r w:rsidRPr="00183C89">
                              <w:rPr>
                                <w:i/>
                                <w:iCs/>
                                <w:color w:val="FFFFFF" w:themeColor="background1"/>
                                <w:szCs w:val="28"/>
                              </w:rPr>
                              <w:t>A</w:t>
                            </w:r>
                            <w:r>
                              <w:rPr>
                                <w:i/>
                                <w:iCs/>
                                <w:color w:val="FFFFFF" w:themeColor="background1"/>
                                <w:szCs w:val="28"/>
                              </w:rPr>
                              <w:t>nnual Programme Review Reports</w:t>
                            </w:r>
                            <w:r w:rsidRPr="00183C89">
                              <w:rPr>
                                <w:i/>
                                <w:iCs/>
                                <w:color w:val="FFFFFF" w:themeColor="background1"/>
                                <w:szCs w:val="28"/>
                              </w:rPr>
                              <w:t xml:space="preserve"> collaboratively developed by the teaching teams (approx 90)</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margin-left:5.1pt;margin-top:197.1pt;width:116.55pt;height:168.75pt;z-index:-25163980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" o:allowincell="f" fillcolor="#7ba0cd [2420]" strokecolor="#d3dfee [820]" strokeweight="6pt">
                <o:lock v:ext="edit" aspectratio="t"/>
                <v:textbox inset=".72pt,.72pt,.72pt,.72pt">
                  <w:txbxContent>
                    <w:p w:rsidR="00380350" w:rsidRPr="00183C89" w:rsidRDefault="00380350">
                      <w:pPr>
                        <w:jc w:val="center"/>
                        <w:rPr>
                          <w:i/>
                          <w:iCs/>
                          <w:color w:val="FFFFFF" w:themeColor="background1"/>
                          <w:szCs w:val="28"/>
                        </w:rPr>
                      </w:pPr>
                      <w:r w:rsidRPr="00183C89">
                        <w:rPr>
                          <w:i/>
                          <w:iCs/>
                          <w:color w:val="FFFFFF" w:themeColor="background1"/>
                          <w:szCs w:val="28"/>
                        </w:rPr>
                        <w:t>A</w:t>
                      </w:r>
                      <w:r>
                        <w:rPr>
                          <w:i/>
                          <w:iCs/>
                          <w:color w:val="FFFFFF" w:themeColor="background1"/>
                          <w:szCs w:val="28"/>
                        </w:rPr>
                        <w:t>nnual Programme Review Reports</w:t>
                      </w:r>
                      <w:r w:rsidRPr="00183C89">
                        <w:rPr>
                          <w:i/>
                          <w:iCs/>
                          <w:color w:val="FFFFFF" w:themeColor="background1"/>
                          <w:szCs w:val="28"/>
                        </w:rPr>
                        <w:t xml:space="preserve"> collaboratively developed by the teaching teams (approx 90)</w:t>
                      </w:r>
                    </w:p>
                  </w:txbxContent>
                </v:textbox>
                <w10:wrap type="tight" anchorx="margin" anchory="margin"/>
              </v:oval>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0" allowOverlap="1">
                <wp:simplePos x="0" y="0"/>
                <wp:positionH relativeFrom="margin">
                  <wp:posOffset>2664460</wp:posOffset>
                </wp:positionH>
                <wp:positionV relativeFrom="page">
                  <wp:posOffset>2731770</wp:posOffset>
                </wp:positionV>
                <wp:extent cx="754380" cy="2377440"/>
                <wp:effectExtent l="5080" t="0" r="8255" b="7620"/>
                <wp:wrapSquare wrapText="bothSides"/>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4380" cy="2377440"/>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380350" w:rsidRDefault="00380350" w:rsidP="00405556">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Applied </w:t>
                            </w:r>
                            <w:r>
                              <w:rPr>
                                <w:rFonts w:asciiTheme="majorHAnsi" w:eastAsiaTheme="majorEastAsia" w:hAnsiTheme="majorHAnsi" w:cstheme="majorBidi"/>
                                <w:i/>
                                <w:iCs/>
                                <w:color w:val="D3DFEE" w:themeColor="accent1" w:themeTint="3F"/>
                                <w:sz w:val="18"/>
                                <w:szCs w:val="28"/>
                              </w:rPr>
                              <w:t>Technology</w:t>
                            </w:r>
                            <w:r w:rsidRPr="00B83EE0">
                              <w:rPr>
                                <w:rFonts w:asciiTheme="majorHAnsi" w:eastAsiaTheme="majorEastAsia" w:hAnsiTheme="majorHAnsi" w:cstheme="majorBidi"/>
                                <w:i/>
                                <w:iCs/>
                                <w:color w:val="D3DFEE" w:themeColor="accent1" w:themeTint="3F"/>
                                <w:sz w:val="18"/>
                                <w:szCs w:val="28"/>
                              </w:rPr>
                              <w:t>– read all APRs and produced a Health of the School Report</w:t>
                            </w:r>
                          </w:p>
                        </w:txbxContent>
                      </wps:txbx>
                      <wps:bodyPr rot="0" vert="horz" wrap="square" lIns="91440" tIns="45720" rIns="91440" bIns="45720" anchor="ctr" anchorCtr="0" upright="1">
                        <a:spAutoFit/>
                      </wps:bodyPr>
                    </wps:wsp>
                  </a:graphicData>
                </a:graphic>
                <wp14:sizeRelH relativeFrom="margin">
                  <wp14:pctWidth>40000</wp14:pctWidth>
                </wp14:sizeRelH>
                <wp14:sizeRelV relativeFrom="margin">
                  <wp14:pctHeight>0</wp14:pctHeight>
                </wp14:sizeRelV>
              </wp:anchor>
            </w:drawing>
          </mc:Choice>
          <mc:Fallback>
            <w:pict>
              <v:shape id="AutoShape 4" o:spid="_x0000_s1029" type="#_x0000_t186" style="position:absolute;margin-left:209.8pt;margin-top:215.1pt;width:59.4pt;height:187.2pt;rotation:90;z-index:251672576;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" o:allowincell="f" filled="t" fillcolor="#1f497d [3215]" stroked="f" strokecolor="#5c83b4" strokeweight=".25pt">
                <v:shadow opacity=".5"/>
                <v:textbox style="mso-fit-shape-to-text:t">
                  <w:txbxContent>
                    <w:p w:rsidR="00380350" w:rsidRDefault="00380350" w:rsidP="00405556">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Applied </w:t>
                      </w:r>
                      <w:r>
                        <w:rPr>
                          <w:rFonts w:asciiTheme="majorHAnsi" w:eastAsiaTheme="majorEastAsia" w:hAnsiTheme="majorHAnsi" w:cstheme="majorBidi"/>
                          <w:i/>
                          <w:iCs/>
                          <w:color w:val="D3DFEE" w:themeColor="accent1" w:themeTint="3F"/>
                          <w:sz w:val="18"/>
                          <w:szCs w:val="28"/>
                        </w:rPr>
                        <w:t>Technology</w:t>
                      </w:r>
                      <w:r w:rsidRPr="00B83EE0">
                        <w:rPr>
                          <w:rFonts w:asciiTheme="majorHAnsi" w:eastAsiaTheme="majorEastAsia" w:hAnsiTheme="majorHAnsi" w:cstheme="majorBidi"/>
                          <w:i/>
                          <w:iCs/>
                          <w:color w:val="D3DFEE" w:themeColor="accent1" w:themeTint="3F"/>
                          <w:sz w:val="18"/>
                          <w:szCs w:val="28"/>
                        </w:rPr>
                        <w:t>– read all APRs and produced a Health of the School Report</w:t>
                      </w:r>
                    </w:p>
                  </w:txbxContent>
                </v:textbox>
                <w10:wrap type="square" anchorx="margin" anchory="page"/>
              </v:shape>
            </w:pict>
          </mc:Fallback>
        </mc:AlternateContent>
      </w:r>
    </w:p>
    <w:p w:rsidR="00405556" w:rsidRDefault="00405556" w:rsidP="008762A8">
      <w:pPr>
        <w:rPr>
          <w:rFonts w:ascii="Arial" w:hAnsi="Arial" w:cs="Arial"/>
          <w:sz w:val="20"/>
          <w:szCs w:val="20"/>
        </w:rPr>
      </w:pPr>
    </w:p>
    <w:p w:rsidR="00405556" w:rsidRDefault="00405556" w:rsidP="008762A8">
      <w:pPr>
        <w:rPr>
          <w:rFonts w:ascii="Arial" w:hAnsi="Arial" w:cs="Arial"/>
          <w:sz w:val="20"/>
          <w:szCs w:val="20"/>
        </w:rPr>
      </w:pPr>
    </w:p>
    <w:p w:rsidR="00405556" w:rsidRDefault="00405556" w:rsidP="008762A8">
      <w:pPr>
        <w:rPr>
          <w:rFonts w:ascii="Arial" w:hAnsi="Arial" w:cs="Arial"/>
          <w:sz w:val="20"/>
          <w:szCs w:val="20"/>
        </w:rPr>
      </w:pPr>
    </w:p>
    <w:p w:rsidR="00405556" w:rsidRDefault="00CF6523" w:rsidP="008762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0" allowOverlap="1">
                <wp:simplePos x="0" y="0"/>
                <wp:positionH relativeFrom="margin">
                  <wp:posOffset>2740660</wp:posOffset>
                </wp:positionH>
                <wp:positionV relativeFrom="page">
                  <wp:posOffset>3690620</wp:posOffset>
                </wp:positionV>
                <wp:extent cx="591820" cy="2377440"/>
                <wp:effectExtent l="0" t="1905" r="3810" b="6350"/>
                <wp:wrapSquare wrapText="bothSides"/>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1820" cy="2377440"/>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380350" w:rsidRDefault="00380350" w:rsidP="00405556">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w:t>
                            </w:r>
                            <w:r>
                              <w:rPr>
                                <w:rFonts w:asciiTheme="majorHAnsi" w:eastAsiaTheme="majorEastAsia" w:hAnsiTheme="majorHAnsi" w:cstheme="majorBidi"/>
                                <w:i/>
                                <w:iCs/>
                                <w:color w:val="D3DFEE" w:themeColor="accent1" w:themeTint="3F"/>
                                <w:sz w:val="18"/>
                                <w:szCs w:val="28"/>
                              </w:rPr>
                              <w:t>Business Studies</w:t>
                            </w:r>
                            <w:r w:rsidRPr="00B83EE0">
                              <w:rPr>
                                <w:rFonts w:asciiTheme="majorHAnsi" w:eastAsiaTheme="majorEastAsia" w:hAnsiTheme="majorHAnsi" w:cstheme="majorBidi"/>
                                <w:i/>
                                <w:iCs/>
                                <w:color w:val="D3DFEE" w:themeColor="accent1" w:themeTint="3F"/>
                                <w:sz w:val="18"/>
                                <w:szCs w:val="28"/>
                              </w:rPr>
                              <w:t xml:space="preserve"> read all APRs and produced a Health of the School Report</w:t>
                            </w:r>
                          </w:p>
                        </w:txbxContent>
                      </wps:txbx>
                      <wps:bodyPr rot="0" vert="horz" wrap="square" lIns="91440" tIns="45720" rIns="91440" bIns="45720" anchor="ctr" anchorCtr="0" upright="1">
                        <a:spAutoFit/>
                      </wps:bodyPr>
                    </wps:wsp>
                  </a:graphicData>
                </a:graphic>
                <wp14:sizeRelH relativeFrom="margin">
                  <wp14:pctWidth>40000</wp14:pctWidth>
                </wp14:sizeRelH>
                <wp14:sizeRelV relativeFrom="margin">
                  <wp14:pctHeight>0</wp14:pctHeight>
                </wp14:sizeRelV>
              </wp:anchor>
            </w:drawing>
          </mc:Choice>
          <mc:Fallback>
            <w:pict>
              <v:shape id="AutoShape 5" o:spid="_x0000_s1030" type="#_x0000_t186" style="position:absolute;margin-left:215.8pt;margin-top:290.6pt;width:46.6pt;height:187.2pt;rotation:90;z-index:251673600;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" o:allowincell="f" filled="t" fillcolor="#1f497d [3215]" stroked="f" strokecolor="#5c83b4" strokeweight=".25pt">
                <v:shadow opacity=".5"/>
                <v:textbox style="mso-fit-shape-to-text:t">
                  <w:txbxContent>
                    <w:p w:rsidR="00380350" w:rsidRDefault="00380350" w:rsidP="00405556">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w:t>
                      </w:r>
                      <w:r>
                        <w:rPr>
                          <w:rFonts w:asciiTheme="majorHAnsi" w:eastAsiaTheme="majorEastAsia" w:hAnsiTheme="majorHAnsi" w:cstheme="majorBidi"/>
                          <w:i/>
                          <w:iCs/>
                          <w:color w:val="D3DFEE" w:themeColor="accent1" w:themeTint="3F"/>
                          <w:sz w:val="18"/>
                          <w:szCs w:val="28"/>
                        </w:rPr>
                        <w:t>Business Studies</w:t>
                      </w:r>
                      <w:r w:rsidRPr="00B83EE0">
                        <w:rPr>
                          <w:rFonts w:asciiTheme="majorHAnsi" w:eastAsiaTheme="majorEastAsia" w:hAnsiTheme="majorHAnsi" w:cstheme="majorBidi"/>
                          <w:i/>
                          <w:iCs/>
                          <w:color w:val="D3DFEE" w:themeColor="accent1" w:themeTint="3F"/>
                          <w:sz w:val="18"/>
                          <w:szCs w:val="28"/>
                        </w:rPr>
                        <w:t xml:space="preserve"> read all APRs and produced a Health of the School Report</w:t>
                      </w:r>
                    </w:p>
                  </w:txbxContent>
                </v:textbox>
                <w10:wrap type="square" anchorx="margin" anchory="page"/>
              </v:shape>
            </w:pict>
          </mc:Fallback>
        </mc:AlternateContent>
      </w:r>
    </w:p>
    <w:p w:rsidR="00405556" w:rsidRDefault="00405556" w:rsidP="008762A8">
      <w:pPr>
        <w:rPr>
          <w:rFonts w:ascii="Arial" w:hAnsi="Arial" w:cs="Arial"/>
          <w:sz w:val="20"/>
          <w:szCs w:val="20"/>
        </w:rPr>
      </w:pPr>
    </w:p>
    <w:p w:rsidR="00405556" w:rsidRDefault="00405556" w:rsidP="008762A8">
      <w:pPr>
        <w:rPr>
          <w:rFonts w:ascii="Arial" w:hAnsi="Arial" w:cs="Arial"/>
          <w:sz w:val="20"/>
          <w:szCs w:val="20"/>
        </w:rPr>
      </w:pPr>
    </w:p>
    <w:p w:rsidR="0050286B" w:rsidRDefault="0050286B" w:rsidP="008762A8">
      <w:pPr>
        <w:rPr>
          <w:rFonts w:ascii="Arial" w:hAnsi="Arial" w:cs="Arial"/>
          <w:sz w:val="20"/>
          <w:szCs w:val="20"/>
        </w:rPr>
      </w:pPr>
    </w:p>
    <w:p w:rsidR="0050286B" w:rsidRDefault="0050286B" w:rsidP="008762A8">
      <w:pPr>
        <w:rPr>
          <w:rFonts w:ascii="Arial" w:hAnsi="Arial" w:cs="Arial"/>
          <w:sz w:val="20"/>
          <w:szCs w:val="20"/>
        </w:rPr>
      </w:pPr>
    </w:p>
    <w:p w:rsidR="00405556" w:rsidRDefault="00CF6523" w:rsidP="008762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0" allowOverlap="1">
                <wp:simplePos x="0" y="0"/>
                <wp:positionH relativeFrom="margin">
                  <wp:posOffset>2740025</wp:posOffset>
                </wp:positionH>
                <wp:positionV relativeFrom="page">
                  <wp:posOffset>4586605</wp:posOffset>
                </wp:positionV>
                <wp:extent cx="592455" cy="2377440"/>
                <wp:effectExtent l="0" t="1905" r="3810" b="5715"/>
                <wp:wrapSquare wrapText="bothSides"/>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2455" cy="2377440"/>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380350" w:rsidRDefault="00380350" w:rsidP="00A867FB">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w:t>
                            </w:r>
                            <w:r>
                              <w:rPr>
                                <w:rFonts w:asciiTheme="majorHAnsi" w:eastAsiaTheme="majorEastAsia" w:hAnsiTheme="majorHAnsi" w:cstheme="majorBidi"/>
                                <w:i/>
                                <w:iCs/>
                                <w:color w:val="D3DFEE" w:themeColor="accent1" w:themeTint="3F"/>
                                <w:sz w:val="18"/>
                                <w:szCs w:val="28"/>
                              </w:rPr>
                              <w:t>Design and Humanities</w:t>
                            </w:r>
                            <w:r w:rsidRPr="00B83EE0">
                              <w:rPr>
                                <w:rFonts w:asciiTheme="majorHAnsi" w:eastAsiaTheme="majorEastAsia" w:hAnsiTheme="majorHAnsi" w:cstheme="majorBidi"/>
                                <w:i/>
                                <w:iCs/>
                                <w:color w:val="D3DFEE" w:themeColor="accent1" w:themeTint="3F"/>
                                <w:sz w:val="18"/>
                                <w:szCs w:val="28"/>
                              </w:rPr>
                              <w:t xml:space="preserve"> read all APRs and produced a Health of the School Report</w:t>
                            </w:r>
                          </w:p>
                        </w:txbxContent>
                      </wps:txbx>
                      <wps:bodyPr rot="0" vert="horz" wrap="square" lIns="91440" tIns="45720" rIns="91440" bIns="45720" anchor="ctr" anchorCtr="0" upright="1">
                        <a:spAutoFit/>
                      </wps:bodyPr>
                    </wps:wsp>
                  </a:graphicData>
                </a:graphic>
                <wp14:sizeRelH relativeFrom="margin">
                  <wp14:pctWidth>40000</wp14:pctWidth>
                </wp14:sizeRelH>
                <wp14:sizeRelV relativeFrom="margin">
                  <wp14:pctHeight>0</wp14:pctHeight>
                </wp14:sizeRelV>
              </wp:anchor>
            </w:drawing>
          </mc:Choice>
          <mc:Fallback>
            <w:pict>
              <v:shape id="AutoShape 6" o:spid="_x0000_s1031" type="#_x0000_t186" style="position:absolute;margin-left:215.75pt;margin-top:361.15pt;width:46.65pt;height:187.2pt;rotation:90;z-index:251674624;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" o:allowincell="f" filled="t" fillcolor="#1f497d [3215]" stroked="f" strokecolor="#5c83b4" strokeweight=".25pt">
                <v:shadow opacity=".5"/>
                <v:textbox style="mso-fit-shape-to-text:t">
                  <w:txbxContent>
                    <w:p w:rsidR="00380350" w:rsidRDefault="00380350" w:rsidP="00A867FB">
                      <w:pPr>
                        <w:spacing w:after="0" w:line="288" w:lineRule="auto"/>
                        <w:jc w:val="center"/>
                        <w:rPr>
                          <w:rFonts w:asciiTheme="majorHAnsi" w:eastAsiaTheme="majorEastAsia" w:hAnsiTheme="majorHAnsi" w:cstheme="majorBidi"/>
                          <w:i/>
                          <w:iCs/>
                          <w:color w:val="D3DFEE" w:themeColor="accent1" w:themeTint="3F"/>
                          <w:sz w:val="28"/>
                          <w:szCs w:val="28"/>
                        </w:rPr>
                      </w:pPr>
                      <w:r w:rsidRPr="00B83EE0">
                        <w:rPr>
                          <w:rFonts w:asciiTheme="majorHAnsi" w:eastAsiaTheme="majorEastAsia" w:hAnsiTheme="majorHAnsi" w:cstheme="majorBidi"/>
                          <w:i/>
                          <w:iCs/>
                          <w:color w:val="D3DFEE" w:themeColor="accent1" w:themeTint="3F"/>
                          <w:sz w:val="18"/>
                          <w:szCs w:val="28"/>
                        </w:rPr>
                        <w:t xml:space="preserve">Head of School </w:t>
                      </w:r>
                      <w:r>
                        <w:rPr>
                          <w:rFonts w:asciiTheme="majorHAnsi" w:eastAsiaTheme="majorEastAsia" w:hAnsiTheme="majorHAnsi" w:cstheme="majorBidi"/>
                          <w:i/>
                          <w:iCs/>
                          <w:color w:val="D3DFEE" w:themeColor="accent1" w:themeTint="3F"/>
                          <w:sz w:val="18"/>
                          <w:szCs w:val="28"/>
                        </w:rPr>
                        <w:t>Design and Humanities</w:t>
                      </w:r>
                      <w:r w:rsidRPr="00B83EE0">
                        <w:rPr>
                          <w:rFonts w:asciiTheme="majorHAnsi" w:eastAsiaTheme="majorEastAsia" w:hAnsiTheme="majorHAnsi" w:cstheme="majorBidi"/>
                          <w:i/>
                          <w:iCs/>
                          <w:color w:val="D3DFEE" w:themeColor="accent1" w:themeTint="3F"/>
                          <w:sz w:val="18"/>
                          <w:szCs w:val="28"/>
                        </w:rPr>
                        <w:t xml:space="preserve"> read all APRs and produced a Health of the School Report</w:t>
                      </w:r>
                    </w:p>
                  </w:txbxContent>
                </v:textbox>
                <w10:wrap type="square" anchorx="margin" anchory="page"/>
              </v:shape>
            </w:pict>
          </mc:Fallback>
        </mc:AlternateContent>
      </w:r>
    </w:p>
    <w:p w:rsidR="00405556" w:rsidRDefault="00405556" w:rsidP="008762A8">
      <w:pPr>
        <w:rPr>
          <w:rFonts w:ascii="Arial" w:hAnsi="Arial" w:cs="Arial"/>
          <w:sz w:val="20"/>
          <w:szCs w:val="20"/>
        </w:rPr>
        <w:sectPr w:rsidR="00405556" w:rsidSect="00B83EE0">
          <w:type w:val="continuous"/>
          <w:pgSz w:w="12240" w:h="15840"/>
          <w:pgMar w:top="1440" w:right="1440" w:bottom="1440" w:left="1440" w:header="720" w:footer="720" w:gutter="0"/>
          <w:cols w:space="720"/>
          <w:docGrid w:linePitch="360"/>
        </w:sectPr>
      </w:pPr>
    </w:p>
    <w:p w:rsidR="008762A8" w:rsidRPr="00405556" w:rsidRDefault="008762A8" w:rsidP="008762A8">
      <w:pPr>
        <w:rPr>
          <w:rFonts w:ascii="Arial" w:hAnsi="Arial" w:cs="Arial"/>
          <w:sz w:val="20"/>
          <w:szCs w:val="20"/>
        </w:rPr>
      </w:pPr>
      <w:r w:rsidRPr="00405556">
        <w:rPr>
          <w:rFonts w:ascii="Arial" w:hAnsi="Arial" w:cs="Arial"/>
          <w:sz w:val="20"/>
          <w:szCs w:val="20"/>
          <w:lang w:val="en-NZ"/>
        </w:rPr>
        <w:t>The first</w:t>
      </w:r>
      <w:r w:rsidR="002E360C">
        <w:rPr>
          <w:rFonts w:ascii="Arial" w:hAnsi="Arial" w:cs="Arial"/>
          <w:sz w:val="20"/>
          <w:szCs w:val="20"/>
          <w:lang w:val="en-NZ"/>
        </w:rPr>
        <w:t xml:space="preserve"> layer</w:t>
      </w:r>
      <w:r w:rsidRPr="00405556">
        <w:rPr>
          <w:rFonts w:ascii="Arial" w:hAnsi="Arial" w:cs="Arial"/>
          <w:sz w:val="20"/>
          <w:szCs w:val="20"/>
          <w:lang w:val="en-NZ"/>
        </w:rPr>
        <w:t xml:space="preserve"> involved the Head of School providing a “State of the School’s Health” report by reviewing all APRs, retention and completion </w:t>
      </w:r>
      <w:r w:rsidR="002E360C" w:rsidRPr="00405556">
        <w:rPr>
          <w:rFonts w:ascii="Arial" w:hAnsi="Arial" w:cs="Arial"/>
          <w:sz w:val="20"/>
          <w:szCs w:val="20"/>
          <w:lang w:val="en-NZ"/>
        </w:rPr>
        <w:t>reports</w:t>
      </w:r>
      <w:r w:rsidR="002E360C">
        <w:rPr>
          <w:rFonts w:ascii="Arial" w:hAnsi="Arial" w:cs="Arial"/>
          <w:sz w:val="20"/>
          <w:szCs w:val="20"/>
          <w:lang w:val="en-NZ"/>
        </w:rPr>
        <w:t>,</w:t>
      </w:r>
      <w:r w:rsidR="002E360C" w:rsidRPr="00405556">
        <w:rPr>
          <w:rFonts w:ascii="Arial" w:hAnsi="Arial" w:cs="Arial"/>
          <w:sz w:val="20"/>
          <w:szCs w:val="20"/>
          <w:lang w:val="en-NZ"/>
        </w:rPr>
        <w:t xml:space="preserve"> and</w:t>
      </w:r>
      <w:r w:rsidRPr="00405556">
        <w:rPr>
          <w:rFonts w:ascii="Arial" w:hAnsi="Arial" w:cs="Arial"/>
          <w:sz w:val="20"/>
          <w:szCs w:val="20"/>
          <w:lang w:val="en-NZ"/>
        </w:rPr>
        <w:t xml:space="preserve"> </w:t>
      </w:r>
      <w:r w:rsidR="002E360C">
        <w:rPr>
          <w:rFonts w:ascii="Arial" w:hAnsi="Arial" w:cs="Arial"/>
          <w:sz w:val="20"/>
          <w:szCs w:val="20"/>
          <w:lang w:val="en-NZ"/>
        </w:rPr>
        <w:t>by t</w:t>
      </w:r>
      <w:r w:rsidRPr="00405556">
        <w:rPr>
          <w:rFonts w:ascii="Arial" w:hAnsi="Arial" w:cs="Arial"/>
          <w:sz w:val="20"/>
          <w:szCs w:val="20"/>
          <w:lang w:val="en-NZ"/>
        </w:rPr>
        <w:t xml:space="preserve">aking into account other available data such as programme and teaching evaluations and complaints.  Each Head of School was able to identify trends in teaching and learning and student issues across the School so that areas of school-wide improvement could be identified </w:t>
      </w:r>
      <w:r w:rsidR="005B6D17">
        <w:rPr>
          <w:rFonts w:ascii="Arial" w:hAnsi="Arial" w:cs="Arial"/>
          <w:sz w:val="20"/>
          <w:szCs w:val="20"/>
          <w:lang w:val="en-NZ"/>
        </w:rPr>
        <w:t>a</w:t>
      </w:r>
      <w:r w:rsidRPr="00405556">
        <w:rPr>
          <w:rFonts w:ascii="Arial" w:hAnsi="Arial" w:cs="Arial"/>
          <w:sz w:val="20"/>
          <w:szCs w:val="20"/>
          <w:lang w:val="en-NZ"/>
        </w:rPr>
        <w:t>nd worked on.  This meant that rather than the APRs just reflecting what was happening in a programme of study, now there was a school-wide focus to share ideas across a range of programmes.</w:t>
      </w:r>
      <w:r w:rsidRPr="00405556">
        <w:rPr>
          <w:rFonts w:ascii="Arial" w:hAnsi="Arial" w:cs="Arial"/>
          <w:sz w:val="20"/>
          <w:szCs w:val="20"/>
        </w:rPr>
        <w:t xml:space="preserve"> </w:t>
      </w:r>
    </w:p>
    <w:p w:rsidR="008762A8" w:rsidRDefault="008762A8" w:rsidP="008762A8">
      <w:pPr>
        <w:rPr>
          <w:rFonts w:ascii="Arial" w:hAnsi="Arial" w:cs="Arial"/>
          <w:sz w:val="20"/>
          <w:szCs w:val="20"/>
          <w:lang w:val="en-NZ"/>
        </w:rPr>
      </w:pPr>
      <w:r w:rsidRPr="00405556">
        <w:rPr>
          <w:rFonts w:ascii="Arial" w:hAnsi="Arial" w:cs="Arial"/>
          <w:sz w:val="20"/>
          <w:szCs w:val="20"/>
          <w:lang w:val="en-NZ"/>
        </w:rPr>
        <w:t xml:space="preserve">The next layer of analysis and reporting involved the Director Academic and Academic Manager reading all </w:t>
      </w:r>
      <w:r w:rsidR="002E360C">
        <w:rPr>
          <w:rFonts w:ascii="Arial" w:hAnsi="Arial" w:cs="Arial"/>
          <w:sz w:val="20"/>
          <w:szCs w:val="20"/>
          <w:lang w:val="en-NZ"/>
        </w:rPr>
        <w:t>APRs plus the four HoS reports.</w:t>
      </w:r>
      <w:r w:rsidRPr="00405556">
        <w:rPr>
          <w:rFonts w:ascii="Arial" w:hAnsi="Arial" w:cs="Arial"/>
          <w:sz w:val="20"/>
          <w:szCs w:val="20"/>
          <w:lang w:val="en-NZ"/>
        </w:rPr>
        <w:t xml:space="preserve">  They then wrote an institution-wide report to identify trends and matters that needed to be considered and addressed at an institutional level.    The report was discussed at Academic Board, and then an improvement focus was taken.  This then involved all four Heads of School, Directors Academic and Maori and Community Development and the Academic Manager meeting on four occasions to discuss the areas for improvement and to develop institutional strategies to achieve the changes. </w:t>
      </w:r>
    </w:p>
    <w:p w:rsidR="004A2023" w:rsidRPr="00405556" w:rsidRDefault="004A2023" w:rsidP="008762A8">
      <w:pPr>
        <w:rPr>
          <w:rFonts w:ascii="Arial" w:hAnsi="Arial" w:cs="Arial"/>
          <w:sz w:val="20"/>
          <w:szCs w:val="20"/>
        </w:rPr>
      </w:pPr>
    </w:p>
    <w:p w:rsidR="0065661B" w:rsidRPr="00405556" w:rsidRDefault="0065661B" w:rsidP="0065661B">
      <w:pPr>
        <w:rPr>
          <w:rFonts w:ascii="Arial" w:hAnsi="Arial" w:cs="Arial"/>
          <w:b/>
          <w:sz w:val="20"/>
          <w:szCs w:val="20"/>
        </w:rPr>
      </w:pPr>
      <w:r w:rsidRPr="00405556">
        <w:rPr>
          <w:rFonts w:ascii="Arial" w:hAnsi="Arial" w:cs="Arial"/>
          <w:b/>
          <w:sz w:val="20"/>
          <w:szCs w:val="20"/>
        </w:rPr>
        <w:t>Other organisational change</w:t>
      </w:r>
    </w:p>
    <w:p w:rsidR="0065661B" w:rsidRPr="00405556" w:rsidRDefault="0065661B" w:rsidP="0065661B">
      <w:pPr>
        <w:rPr>
          <w:rFonts w:ascii="Arial" w:hAnsi="Arial" w:cs="Arial"/>
          <w:sz w:val="20"/>
          <w:szCs w:val="20"/>
        </w:rPr>
      </w:pPr>
      <w:r w:rsidRPr="00405556">
        <w:rPr>
          <w:rFonts w:ascii="Arial" w:hAnsi="Arial" w:cs="Arial"/>
          <w:sz w:val="20"/>
          <w:szCs w:val="20"/>
          <w:lang w:val="en-NZ"/>
        </w:rPr>
        <w:t>In 2010 we also decided that we needed to reduce some of the bureaucratic layers of decision making at the polytechnic.  There appeared to be too many layers and these affected decisio</w:t>
      </w:r>
      <w:r w:rsidR="00561053" w:rsidRPr="00405556">
        <w:rPr>
          <w:rFonts w:ascii="Arial" w:hAnsi="Arial" w:cs="Arial"/>
          <w:sz w:val="20"/>
          <w:szCs w:val="20"/>
          <w:lang w:val="en-NZ"/>
        </w:rPr>
        <w:t>ns related to approval processes</w:t>
      </w:r>
      <w:r w:rsidRPr="00405556">
        <w:rPr>
          <w:rFonts w:ascii="Arial" w:hAnsi="Arial" w:cs="Arial"/>
          <w:sz w:val="20"/>
          <w:szCs w:val="20"/>
          <w:lang w:val="en-NZ"/>
        </w:rPr>
        <w:t xml:space="preserve"> for changes that would bring improvement for student outcomes</w:t>
      </w:r>
      <w:r w:rsidR="00561053" w:rsidRPr="00405556">
        <w:rPr>
          <w:rFonts w:ascii="Arial" w:hAnsi="Arial" w:cs="Arial"/>
          <w:sz w:val="20"/>
          <w:szCs w:val="20"/>
          <w:lang w:val="en-NZ"/>
        </w:rPr>
        <w:t>.  These were decisions about the introduction of new course content or assessments</w:t>
      </w:r>
      <w:r w:rsidR="00DF5A1A" w:rsidRPr="00405556">
        <w:rPr>
          <w:rFonts w:ascii="Arial" w:hAnsi="Arial" w:cs="Arial"/>
          <w:sz w:val="20"/>
          <w:szCs w:val="20"/>
          <w:lang w:val="en-NZ"/>
        </w:rPr>
        <w:t xml:space="preserve">.  We </w:t>
      </w:r>
      <w:r w:rsidR="005B6D17">
        <w:rPr>
          <w:rFonts w:ascii="Arial" w:hAnsi="Arial" w:cs="Arial"/>
          <w:sz w:val="20"/>
          <w:szCs w:val="20"/>
          <w:lang w:val="en-NZ"/>
        </w:rPr>
        <w:t xml:space="preserve">also </w:t>
      </w:r>
      <w:r w:rsidR="00DF5A1A" w:rsidRPr="00405556">
        <w:rPr>
          <w:rFonts w:ascii="Arial" w:hAnsi="Arial" w:cs="Arial"/>
          <w:sz w:val="20"/>
          <w:szCs w:val="20"/>
          <w:lang w:val="en-NZ"/>
        </w:rPr>
        <w:t>wanted to change the layers involved in the</w:t>
      </w:r>
      <w:r w:rsidRPr="00405556">
        <w:rPr>
          <w:rFonts w:ascii="Arial" w:hAnsi="Arial" w:cs="Arial"/>
          <w:sz w:val="20"/>
          <w:szCs w:val="20"/>
          <w:lang w:val="en-NZ"/>
        </w:rPr>
        <w:t xml:space="preserve"> approval of results</w:t>
      </w:r>
      <w:r w:rsidR="00DF5A1A" w:rsidRPr="00405556">
        <w:rPr>
          <w:rFonts w:ascii="Arial" w:hAnsi="Arial" w:cs="Arial"/>
          <w:sz w:val="20"/>
          <w:szCs w:val="20"/>
          <w:lang w:val="en-NZ"/>
        </w:rPr>
        <w:t xml:space="preserve"> so that approval was at Group Leader level rather than at a formal Board of Studies.  </w:t>
      </w:r>
      <w:r w:rsidR="002E360C">
        <w:rPr>
          <w:rFonts w:ascii="Arial" w:hAnsi="Arial" w:cs="Arial"/>
          <w:sz w:val="20"/>
          <w:szCs w:val="20"/>
          <w:lang w:val="en-NZ"/>
        </w:rPr>
        <w:t>In addition we</w:t>
      </w:r>
      <w:r w:rsidR="00DF5A1A" w:rsidRPr="00405556">
        <w:rPr>
          <w:rFonts w:ascii="Arial" w:hAnsi="Arial" w:cs="Arial"/>
          <w:sz w:val="20"/>
          <w:szCs w:val="20"/>
          <w:lang w:val="en-NZ"/>
        </w:rPr>
        <w:t xml:space="preserve"> wanted to speed up </w:t>
      </w:r>
      <w:r w:rsidRPr="00405556">
        <w:rPr>
          <w:rFonts w:ascii="Arial" w:hAnsi="Arial" w:cs="Arial"/>
          <w:sz w:val="20"/>
          <w:szCs w:val="20"/>
          <w:lang w:val="en-NZ"/>
        </w:rPr>
        <w:t>decision making that should be made at the teaching team level</w:t>
      </w:r>
      <w:r w:rsidR="00DF5A1A" w:rsidRPr="00405556">
        <w:rPr>
          <w:rFonts w:ascii="Arial" w:hAnsi="Arial" w:cs="Arial"/>
          <w:sz w:val="20"/>
          <w:szCs w:val="20"/>
          <w:lang w:val="en-NZ"/>
        </w:rPr>
        <w:t>, such as who was the most appropriate student to be granted a “top student” award.</w:t>
      </w:r>
    </w:p>
    <w:p w:rsidR="0065661B" w:rsidRPr="00405556" w:rsidRDefault="005B6D17" w:rsidP="0065661B">
      <w:pPr>
        <w:rPr>
          <w:rFonts w:ascii="Arial" w:hAnsi="Arial" w:cs="Arial"/>
          <w:sz w:val="20"/>
          <w:szCs w:val="20"/>
        </w:rPr>
      </w:pPr>
      <w:r>
        <w:rPr>
          <w:rFonts w:ascii="Arial" w:hAnsi="Arial" w:cs="Arial"/>
          <w:sz w:val="20"/>
          <w:szCs w:val="20"/>
          <w:lang w:val="en-NZ"/>
        </w:rPr>
        <w:t>As well</w:t>
      </w:r>
      <w:r w:rsidR="004C61DE">
        <w:rPr>
          <w:rFonts w:ascii="Arial" w:hAnsi="Arial" w:cs="Arial"/>
          <w:sz w:val="20"/>
          <w:szCs w:val="20"/>
          <w:lang w:val="en-NZ"/>
        </w:rPr>
        <w:t xml:space="preserve"> we</w:t>
      </w:r>
      <w:r w:rsidR="0065661B" w:rsidRPr="00405556">
        <w:rPr>
          <w:rFonts w:ascii="Arial" w:hAnsi="Arial" w:cs="Arial"/>
          <w:sz w:val="20"/>
          <w:szCs w:val="20"/>
          <w:lang w:val="en-NZ"/>
        </w:rPr>
        <w:t xml:space="preserve"> wanted a closer focus on student engagement, retention and progress to ensure that student completion rates and progression to the next level of study could be as good as we could get them.  </w:t>
      </w:r>
    </w:p>
    <w:p w:rsidR="0015536B" w:rsidRPr="00405556" w:rsidRDefault="0065661B" w:rsidP="0065661B">
      <w:pPr>
        <w:rPr>
          <w:rFonts w:ascii="Arial" w:hAnsi="Arial" w:cs="Arial"/>
          <w:sz w:val="20"/>
          <w:szCs w:val="20"/>
          <w:lang w:val="en-NZ"/>
        </w:rPr>
      </w:pPr>
      <w:r w:rsidRPr="00405556">
        <w:rPr>
          <w:rFonts w:ascii="Arial" w:hAnsi="Arial" w:cs="Arial"/>
          <w:sz w:val="20"/>
          <w:szCs w:val="20"/>
          <w:lang w:val="en-NZ"/>
        </w:rPr>
        <w:t xml:space="preserve">To achieve those goals, a less formal structure of meetings was trialled in the School of Design and Humanities.  </w:t>
      </w:r>
    </w:p>
    <w:p w:rsidR="0015536B" w:rsidRPr="00405556" w:rsidRDefault="0015536B" w:rsidP="0065661B">
      <w:pPr>
        <w:rPr>
          <w:rFonts w:ascii="Arial" w:hAnsi="Arial" w:cs="Arial"/>
          <w:sz w:val="20"/>
          <w:szCs w:val="20"/>
          <w:lang w:val="en-NZ"/>
        </w:rPr>
      </w:pPr>
      <w:r w:rsidRPr="00405556">
        <w:rPr>
          <w:rFonts w:ascii="Arial" w:hAnsi="Arial" w:cs="Arial"/>
          <w:sz w:val="20"/>
          <w:szCs w:val="20"/>
          <w:lang w:val="en-NZ"/>
        </w:rPr>
        <w:t>The established structure was in two parts:</w:t>
      </w:r>
    </w:p>
    <w:p w:rsidR="0015536B" w:rsidRPr="00405556" w:rsidRDefault="002E360C" w:rsidP="0015536B">
      <w:pPr>
        <w:pStyle w:val="ListParagraph"/>
        <w:numPr>
          <w:ilvl w:val="0"/>
          <w:numId w:val="11"/>
        </w:numPr>
        <w:rPr>
          <w:rFonts w:ascii="Arial" w:hAnsi="Arial" w:cs="Arial"/>
          <w:sz w:val="20"/>
          <w:szCs w:val="20"/>
          <w:lang w:val="en-NZ"/>
        </w:rPr>
      </w:pPr>
      <w:r>
        <w:rPr>
          <w:rFonts w:ascii="Arial" w:hAnsi="Arial" w:cs="Arial"/>
          <w:sz w:val="20"/>
          <w:szCs w:val="20"/>
          <w:lang w:val="en-NZ"/>
        </w:rPr>
        <w:t>The first was a</w:t>
      </w:r>
      <w:r w:rsidR="0015536B" w:rsidRPr="00405556">
        <w:rPr>
          <w:rFonts w:ascii="Arial" w:hAnsi="Arial" w:cs="Arial"/>
          <w:sz w:val="20"/>
          <w:szCs w:val="20"/>
          <w:lang w:val="en-NZ"/>
        </w:rPr>
        <w:t xml:space="preserve"> School Board of Studies with membership comprising the Head of School, </w:t>
      </w:r>
      <w:r>
        <w:rPr>
          <w:rFonts w:ascii="Arial" w:hAnsi="Arial" w:cs="Arial"/>
          <w:sz w:val="20"/>
          <w:szCs w:val="20"/>
          <w:lang w:val="en-NZ"/>
        </w:rPr>
        <w:t xml:space="preserve">School </w:t>
      </w:r>
      <w:r w:rsidR="0015536B" w:rsidRPr="00405556">
        <w:rPr>
          <w:rFonts w:ascii="Arial" w:hAnsi="Arial" w:cs="Arial"/>
          <w:sz w:val="20"/>
          <w:szCs w:val="20"/>
          <w:lang w:val="en-NZ"/>
        </w:rPr>
        <w:t xml:space="preserve">Academic Adviser, all Programme </w:t>
      </w:r>
      <w:r w:rsidR="00227C51" w:rsidRPr="00405556">
        <w:rPr>
          <w:rFonts w:ascii="Arial" w:hAnsi="Arial" w:cs="Arial"/>
          <w:sz w:val="20"/>
          <w:szCs w:val="20"/>
          <w:lang w:val="en-NZ"/>
        </w:rPr>
        <w:t>Coordinators,</w:t>
      </w:r>
      <w:r w:rsidR="0015536B" w:rsidRPr="00405556">
        <w:rPr>
          <w:rFonts w:ascii="Arial" w:hAnsi="Arial" w:cs="Arial"/>
          <w:sz w:val="20"/>
          <w:szCs w:val="20"/>
          <w:lang w:val="en-NZ"/>
        </w:rPr>
        <w:t xml:space="preserve"> an academic staff member from another school and a Head of School from another School who acted as chair.  Administrative staff acted as minutes Secretary.  The role of this committee was to receive reports and </w:t>
      </w:r>
      <w:r w:rsidR="00407ED6" w:rsidRPr="00405556">
        <w:rPr>
          <w:rFonts w:ascii="Arial" w:hAnsi="Arial" w:cs="Arial"/>
          <w:sz w:val="20"/>
          <w:szCs w:val="20"/>
          <w:lang w:val="en-NZ"/>
        </w:rPr>
        <w:t>we noted that much of this ‘paper heavy’ committee was used for rubber stamping of decisions rather than robust academic debate.</w:t>
      </w:r>
    </w:p>
    <w:p w:rsidR="0015536B" w:rsidRPr="00405556" w:rsidRDefault="002E360C" w:rsidP="0015536B">
      <w:pPr>
        <w:pStyle w:val="ListParagraph"/>
        <w:numPr>
          <w:ilvl w:val="0"/>
          <w:numId w:val="11"/>
        </w:numPr>
        <w:rPr>
          <w:rFonts w:ascii="Arial" w:hAnsi="Arial" w:cs="Arial"/>
          <w:sz w:val="20"/>
          <w:szCs w:val="20"/>
          <w:lang w:val="en-NZ"/>
        </w:rPr>
      </w:pPr>
      <w:r>
        <w:rPr>
          <w:rFonts w:ascii="Arial" w:hAnsi="Arial" w:cs="Arial"/>
          <w:sz w:val="20"/>
          <w:szCs w:val="20"/>
          <w:lang w:val="en-NZ"/>
        </w:rPr>
        <w:t xml:space="preserve">The second was a number of </w:t>
      </w:r>
      <w:r w:rsidR="0015536B" w:rsidRPr="00405556">
        <w:rPr>
          <w:rFonts w:ascii="Arial" w:hAnsi="Arial" w:cs="Arial"/>
          <w:sz w:val="20"/>
          <w:szCs w:val="20"/>
          <w:lang w:val="en-NZ"/>
        </w:rPr>
        <w:t>Programme Assessment Committees comprising a programme coordinator, as many teaching staff as possible, the Academi c Adviser, an independent academic staff member and a pr</w:t>
      </w:r>
      <w:r w:rsidR="004C61DE">
        <w:rPr>
          <w:rFonts w:ascii="Arial" w:hAnsi="Arial" w:cs="Arial"/>
          <w:sz w:val="20"/>
          <w:szCs w:val="20"/>
          <w:lang w:val="en-NZ"/>
        </w:rPr>
        <w:t>ogramme administrator as minute</w:t>
      </w:r>
      <w:r w:rsidR="0015536B" w:rsidRPr="00405556">
        <w:rPr>
          <w:rFonts w:ascii="Arial" w:hAnsi="Arial" w:cs="Arial"/>
          <w:sz w:val="20"/>
          <w:szCs w:val="20"/>
          <w:lang w:val="en-NZ"/>
        </w:rPr>
        <w:t xml:space="preserve"> secretary.  The role of this committee was to check results to make sure that all entries were accurately recorded.</w:t>
      </w:r>
    </w:p>
    <w:p w:rsidR="00227C51" w:rsidRDefault="00227C51" w:rsidP="00227C51">
      <w:pPr>
        <w:rPr>
          <w:rFonts w:ascii="Arial" w:hAnsi="Arial" w:cs="Arial"/>
          <w:sz w:val="20"/>
          <w:szCs w:val="20"/>
          <w:lang w:val="en-NZ"/>
        </w:rPr>
      </w:pPr>
      <w:r w:rsidRPr="00405556">
        <w:rPr>
          <w:rFonts w:ascii="Arial" w:hAnsi="Arial" w:cs="Arial"/>
          <w:sz w:val="20"/>
          <w:szCs w:val="20"/>
          <w:lang w:val="en-NZ"/>
        </w:rPr>
        <w:t>We replaced the established structure.</w:t>
      </w:r>
    </w:p>
    <w:p w:rsidR="002E360C" w:rsidRPr="00405556" w:rsidRDefault="002E360C" w:rsidP="00227C51">
      <w:pPr>
        <w:rPr>
          <w:rFonts w:ascii="Arial" w:hAnsi="Arial" w:cs="Arial"/>
          <w:sz w:val="20"/>
          <w:szCs w:val="20"/>
          <w:lang w:val="en-NZ"/>
        </w:rPr>
      </w:pPr>
    </w:p>
    <w:p w:rsidR="00227C51" w:rsidRPr="00405556" w:rsidRDefault="00227C51" w:rsidP="00227C51">
      <w:pPr>
        <w:rPr>
          <w:rFonts w:ascii="Arial" w:hAnsi="Arial" w:cs="Arial"/>
          <w:sz w:val="20"/>
          <w:szCs w:val="20"/>
        </w:rPr>
      </w:pPr>
      <w:r w:rsidRPr="00405556">
        <w:rPr>
          <w:rFonts w:ascii="Arial" w:hAnsi="Arial" w:cs="Arial"/>
          <w:sz w:val="20"/>
          <w:szCs w:val="20"/>
          <w:lang w:val="en-NZ"/>
        </w:rPr>
        <w:t xml:space="preserve">Group Programme Committees were set up.  This put a cross section of teaching and support staff into an environment where they could talk about their students, about what was working well, and what needed </w:t>
      </w:r>
      <w:r w:rsidR="002E360C">
        <w:rPr>
          <w:rFonts w:ascii="Arial" w:hAnsi="Arial" w:cs="Arial"/>
          <w:sz w:val="20"/>
          <w:szCs w:val="20"/>
          <w:lang w:val="en-NZ"/>
        </w:rPr>
        <w:t xml:space="preserve">further </w:t>
      </w:r>
      <w:r w:rsidRPr="00405556">
        <w:rPr>
          <w:rFonts w:ascii="Arial" w:hAnsi="Arial" w:cs="Arial"/>
          <w:sz w:val="20"/>
          <w:szCs w:val="20"/>
          <w:lang w:val="en-NZ"/>
        </w:rPr>
        <w:t>work</w:t>
      </w:r>
      <w:r w:rsidR="002E360C">
        <w:rPr>
          <w:rFonts w:ascii="Arial" w:hAnsi="Arial" w:cs="Arial"/>
          <w:sz w:val="20"/>
          <w:szCs w:val="20"/>
          <w:lang w:val="en-NZ"/>
        </w:rPr>
        <w:t xml:space="preserve"> and improvement</w:t>
      </w:r>
      <w:r w:rsidRPr="00405556">
        <w:rPr>
          <w:rFonts w:ascii="Arial" w:hAnsi="Arial" w:cs="Arial"/>
          <w:sz w:val="20"/>
          <w:szCs w:val="20"/>
          <w:lang w:val="en-NZ"/>
        </w:rPr>
        <w:t xml:space="preserve">.  This also meant that </w:t>
      </w:r>
      <w:r w:rsidR="002E360C">
        <w:rPr>
          <w:rFonts w:ascii="Arial" w:hAnsi="Arial" w:cs="Arial"/>
          <w:sz w:val="20"/>
          <w:szCs w:val="20"/>
          <w:lang w:val="en-NZ"/>
        </w:rPr>
        <w:t>ideas</w:t>
      </w:r>
      <w:r w:rsidRPr="00405556">
        <w:rPr>
          <w:rFonts w:ascii="Arial" w:hAnsi="Arial" w:cs="Arial"/>
          <w:sz w:val="20"/>
          <w:szCs w:val="20"/>
          <w:lang w:val="en-NZ"/>
        </w:rPr>
        <w:t xml:space="preserve"> could be shared from other programme areas.  </w:t>
      </w:r>
    </w:p>
    <w:p w:rsidR="00227C51" w:rsidRPr="00405556" w:rsidRDefault="00227C51" w:rsidP="00227C51">
      <w:pPr>
        <w:rPr>
          <w:rFonts w:ascii="Arial" w:hAnsi="Arial" w:cs="Arial"/>
          <w:sz w:val="20"/>
          <w:szCs w:val="20"/>
          <w:lang w:val="en-NZ"/>
        </w:rPr>
      </w:pPr>
      <w:r w:rsidRPr="00405556">
        <w:rPr>
          <w:rFonts w:ascii="Arial" w:hAnsi="Arial" w:cs="Arial"/>
          <w:bCs/>
          <w:sz w:val="20"/>
          <w:szCs w:val="20"/>
          <w:lang w:val="en-NZ"/>
        </w:rPr>
        <w:t>The Programme Assessment Committees that functioned to carry out a checking of results were removed</w:t>
      </w:r>
      <w:r w:rsidRPr="00405556">
        <w:rPr>
          <w:rFonts w:ascii="Arial" w:hAnsi="Arial" w:cs="Arial"/>
          <w:b/>
          <w:bCs/>
          <w:sz w:val="20"/>
          <w:szCs w:val="20"/>
          <w:lang w:val="en-NZ"/>
        </w:rPr>
        <w:t xml:space="preserve"> </w:t>
      </w:r>
      <w:r w:rsidRPr="00405556">
        <w:rPr>
          <w:rFonts w:ascii="Arial" w:hAnsi="Arial" w:cs="Arial"/>
          <w:sz w:val="20"/>
          <w:szCs w:val="20"/>
          <w:lang w:val="en-NZ"/>
        </w:rPr>
        <w:t xml:space="preserve">and responsibility for accuracy of the results </w:t>
      </w:r>
      <w:r w:rsidR="00DC13C4" w:rsidRPr="00405556">
        <w:rPr>
          <w:rFonts w:ascii="Arial" w:hAnsi="Arial" w:cs="Arial"/>
          <w:sz w:val="20"/>
          <w:szCs w:val="20"/>
          <w:lang w:val="en-NZ"/>
        </w:rPr>
        <w:t>put where it belongs, with the t</w:t>
      </w:r>
      <w:r w:rsidRPr="00405556">
        <w:rPr>
          <w:rFonts w:ascii="Arial" w:hAnsi="Arial" w:cs="Arial"/>
          <w:sz w:val="20"/>
          <w:szCs w:val="20"/>
          <w:lang w:val="en-NZ"/>
        </w:rPr>
        <w:t>utors, Programme Coordinators and Group Leaders.</w:t>
      </w:r>
    </w:p>
    <w:p w:rsidR="00227C51" w:rsidRPr="00405556" w:rsidRDefault="00227C51" w:rsidP="00227C51">
      <w:pPr>
        <w:rPr>
          <w:rFonts w:ascii="Arial" w:hAnsi="Arial" w:cs="Arial"/>
          <w:sz w:val="20"/>
          <w:szCs w:val="20"/>
        </w:rPr>
      </w:pPr>
      <w:r w:rsidRPr="00405556">
        <w:rPr>
          <w:rFonts w:ascii="Arial" w:hAnsi="Arial" w:cs="Arial"/>
          <w:sz w:val="20"/>
          <w:szCs w:val="20"/>
          <w:lang w:val="en-NZ"/>
        </w:rPr>
        <w:t xml:space="preserve">Reports from the Group Programme Committees were then taken to the second new group – the School Leadership Team.    This group comprises the Head of School, all Group Leaders, the School Academic Adviser and the Administration Team Leader.  They were given the authority to make both academic and school management decisions </w:t>
      </w:r>
      <w:r w:rsidR="00DC13C4" w:rsidRPr="00405556">
        <w:rPr>
          <w:rFonts w:ascii="Arial" w:hAnsi="Arial" w:cs="Arial"/>
          <w:sz w:val="20"/>
          <w:szCs w:val="20"/>
          <w:lang w:val="en-NZ"/>
        </w:rPr>
        <w:t>while</w:t>
      </w:r>
      <w:r w:rsidRPr="00405556">
        <w:rPr>
          <w:rFonts w:ascii="Arial" w:hAnsi="Arial" w:cs="Arial"/>
          <w:sz w:val="20"/>
          <w:szCs w:val="20"/>
          <w:lang w:val="en-NZ"/>
        </w:rPr>
        <w:t xml:space="preserve"> refe</w:t>
      </w:r>
      <w:r w:rsidR="00DC13C4" w:rsidRPr="00405556">
        <w:rPr>
          <w:rFonts w:ascii="Arial" w:hAnsi="Arial" w:cs="Arial"/>
          <w:sz w:val="20"/>
          <w:szCs w:val="20"/>
          <w:lang w:val="en-NZ"/>
        </w:rPr>
        <w:t>r</w:t>
      </w:r>
      <w:r w:rsidRPr="00405556">
        <w:rPr>
          <w:rFonts w:ascii="Arial" w:hAnsi="Arial" w:cs="Arial"/>
          <w:sz w:val="20"/>
          <w:szCs w:val="20"/>
          <w:lang w:val="en-NZ"/>
        </w:rPr>
        <w:t>r</w:t>
      </w:r>
      <w:r w:rsidR="00DC13C4" w:rsidRPr="00405556">
        <w:rPr>
          <w:rFonts w:ascii="Arial" w:hAnsi="Arial" w:cs="Arial"/>
          <w:sz w:val="20"/>
          <w:szCs w:val="20"/>
          <w:lang w:val="en-NZ"/>
        </w:rPr>
        <w:t>ing</w:t>
      </w:r>
      <w:r w:rsidRPr="00405556">
        <w:rPr>
          <w:rFonts w:ascii="Arial" w:hAnsi="Arial" w:cs="Arial"/>
          <w:sz w:val="20"/>
          <w:szCs w:val="20"/>
          <w:lang w:val="en-NZ"/>
        </w:rPr>
        <w:t xml:space="preserve"> relevant matters to higher level decision makers.   This School Leadership Team replaced the academic forum of the School Board of Studies.  </w:t>
      </w:r>
    </w:p>
    <w:p w:rsidR="0065661B" w:rsidRPr="00405556" w:rsidRDefault="0065661B" w:rsidP="0065661B">
      <w:pPr>
        <w:rPr>
          <w:rFonts w:ascii="Arial" w:hAnsi="Arial" w:cs="Arial"/>
          <w:sz w:val="20"/>
          <w:szCs w:val="20"/>
        </w:rPr>
      </w:pPr>
      <w:r w:rsidRPr="00405556">
        <w:rPr>
          <w:rFonts w:ascii="Arial" w:hAnsi="Arial" w:cs="Arial"/>
          <w:sz w:val="20"/>
          <w:szCs w:val="20"/>
          <w:lang w:val="en-NZ"/>
        </w:rPr>
        <w:t xml:space="preserve">Although </w:t>
      </w:r>
      <w:r w:rsidR="00DC13C4" w:rsidRPr="00405556">
        <w:rPr>
          <w:rFonts w:ascii="Arial" w:hAnsi="Arial" w:cs="Arial"/>
          <w:sz w:val="20"/>
          <w:szCs w:val="20"/>
          <w:lang w:val="en-NZ"/>
        </w:rPr>
        <w:t xml:space="preserve">this is a </w:t>
      </w:r>
      <w:r w:rsidRPr="00405556">
        <w:rPr>
          <w:rFonts w:ascii="Arial" w:hAnsi="Arial" w:cs="Arial"/>
          <w:sz w:val="20"/>
          <w:szCs w:val="20"/>
          <w:lang w:val="en-NZ"/>
        </w:rPr>
        <w:t>less formal</w:t>
      </w:r>
      <w:r w:rsidR="00DC13C4" w:rsidRPr="00405556">
        <w:rPr>
          <w:rFonts w:ascii="Arial" w:hAnsi="Arial" w:cs="Arial"/>
          <w:sz w:val="20"/>
          <w:szCs w:val="20"/>
          <w:lang w:val="en-NZ"/>
        </w:rPr>
        <w:t xml:space="preserve"> structure</w:t>
      </w:r>
      <w:r w:rsidR="002E360C">
        <w:rPr>
          <w:rFonts w:ascii="Arial" w:hAnsi="Arial" w:cs="Arial"/>
          <w:sz w:val="20"/>
          <w:szCs w:val="20"/>
          <w:lang w:val="en-NZ"/>
        </w:rPr>
        <w:t>, more people a</w:t>
      </w:r>
      <w:r w:rsidRPr="00405556">
        <w:rPr>
          <w:rFonts w:ascii="Arial" w:hAnsi="Arial" w:cs="Arial"/>
          <w:sz w:val="20"/>
          <w:szCs w:val="20"/>
          <w:lang w:val="en-NZ"/>
        </w:rPr>
        <w:t>re involved</w:t>
      </w:r>
      <w:r w:rsidR="007020C2" w:rsidRPr="00405556">
        <w:rPr>
          <w:rFonts w:ascii="Arial" w:hAnsi="Arial" w:cs="Arial"/>
          <w:sz w:val="20"/>
          <w:szCs w:val="20"/>
          <w:lang w:val="en-NZ"/>
        </w:rPr>
        <w:t xml:space="preserve"> in the discussions</w:t>
      </w:r>
      <w:r w:rsidR="00DC13C4" w:rsidRPr="00405556">
        <w:rPr>
          <w:rFonts w:ascii="Arial" w:hAnsi="Arial" w:cs="Arial"/>
          <w:sz w:val="20"/>
          <w:szCs w:val="20"/>
          <w:lang w:val="en-NZ"/>
        </w:rPr>
        <w:t xml:space="preserve"> and this involved both academic and allied staff</w:t>
      </w:r>
      <w:r w:rsidRPr="00405556">
        <w:rPr>
          <w:rFonts w:ascii="Arial" w:hAnsi="Arial" w:cs="Arial"/>
          <w:sz w:val="20"/>
          <w:szCs w:val="20"/>
          <w:lang w:val="en-NZ"/>
        </w:rPr>
        <w:t>.</w:t>
      </w:r>
      <w:r w:rsidR="00DF5A1A" w:rsidRPr="00405556">
        <w:rPr>
          <w:rFonts w:ascii="Arial" w:hAnsi="Arial" w:cs="Arial"/>
          <w:sz w:val="20"/>
          <w:szCs w:val="20"/>
          <w:lang w:val="en-NZ"/>
        </w:rPr>
        <w:t xml:space="preserve">  </w:t>
      </w:r>
    </w:p>
    <w:p w:rsidR="004C61DE" w:rsidRDefault="0065661B" w:rsidP="0065661B">
      <w:pPr>
        <w:rPr>
          <w:rFonts w:ascii="Arial" w:hAnsi="Arial" w:cs="Arial"/>
          <w:sz w:val="20"/>
          <w:szCs w:val="20"/>
          <w:lang w:val="en-NZ"/>
        </w:rPr>
      </w:pPr>
      <w:r w:rsidRPr="00405556">
        <w:rPr>
          <w:rFonts w:ascii="Arial" w:hAnsi="Arial" w:cs="Arial"/>
          <w:sz w:val="20"/>
          <w:szCs w:val="20"/>
          <w:lang w:val="en-NZ"/>
        </w:rPr>
        <w:t>The concept was c</w:t>
      </w:r>
      <w:r w:rsidR="00DC13C4" w:rsidRPr="00405556">
        <w:rPr>
          <w:rFonts w:ascii="Arial" w:hAnsi="Arial" w:cs="Arial"/>
          <w:sz w:val="20"/>
          <w:szCs w:val="20"/>
          <w:lang w:val="en-NZ"/>
        </w:rPr>
        <w:t>hallenging at first, but after nine</w:t>
      </w:r>
      <w:r w:rsidRPr="00405556">
        <w:rPr>
          <w:rFonts w:ascii="Arial" w:hAnsi="Arial" w:cs="Arial"/>
          <w:sz w:val="20"/>
          <w:szCs w:val="20"/>
          <w:lang w:val="en-NZ"/>
        </w:rPr>
        <w:t xml:space="preserve"> months of trial, there have been positive outcomes.  </w:t>
      </w:r>
    </w:p>
    <w:p w:rsidR="00DC13C4" w:rsidRPr="00405556" w:rsidRDefault="0065661B" w:rsidP="0065661B">
      <w:pPr>
        <w:rPr>
          <w:rFonts w:ascii="Arial" w:hAnsi="Arial" w:cs="Arial"/>
          <w:sz w:val="20"/>
          <w:szCs w:val="20"/>
          <w:lang w:val="en-NZ"/>
        </w:rPr>
      </w:pPr>
      <w:r w:rsidRPr="00405556">
        <w:rPr>
          <w:rFonts w:ascii="Arial" w:hAnsi="Arial" w:cs="Arial"/>
          <w:sz w:val="20"/>
          <w:szCs w:val="20"/>
          <w:lang w:val="en-NZ"/>
        </w:rPr>
        <w:t>One Group Leader noted a move from retrospective solutions to problems to proactive problem identification</w:t>
      </w:r>
      <w:r w:rsidR="002E360C">
        <w:rPr>
          <w:rFonts w:ascii="Arial" w:hAnsi="Arial" w:cs="Arial"/>
          <w:sz w:val="20"/>
          <w:szCs w:val="20"/>
          <w:lang w:val="en-NZ"/>
        </w:rPr>
        <w:t xml:space="preserve"> and action</w:t>
      </w:r>
      <w:r w:rsidRPr="00405556">
        <w:rPr>
          <w:rFonts w:ascii="Arial" w:hAnsi="Arial" w:cs="Arial"/>
          <w:sz w:val="20"/>
          <w:szCs w:val="20"/>
          <w:lang w:val="en-NZ"/>
        </w:rPr>
        <w:t xml:space="preserve">.    </w:t>
      </w:r>
      <w:r w:rsidR="004C61DE">
        <w:rPr>
          <w:rFonts w:ascii="Arial" w:hAnsi="Arial" w:cs="Arial"/>
          <w:sz w:val="20"/>
          <w:szCs w:val="20"/>
          <w:lang w:val="en-NZ"/>
        </w:rPr>
        <w:t xml:space="preserve">She </w:t>
      </w:r>
      <w:r w:rsidR="00207B3F">
        <w:rPr>
          <w:rFonts w:ascii="Arial" w:hAnsi="Arial" w:cs="Arial"/>
          <w:sz w:val="20"/>
          <w:szCs w:val="20"/>
          <w:lang w:val="en-NZ"/>
        </w:rPr>
        <w:t xml:space="preserve">thought that the Group Programme Committees had helped to develop the team in a way that the Board of Studies had not, and had created more talk outside of meetings.  She </w:t>
      </w:r>
      <w:r w:rsidR="004C61DE">
        <w:rPr>
          <w:rFonts w:ascii="Arial" w:hAnsi="Arial" w:cs="Arial"/>
          <w:sz w:val="20"/>
          <w:szCs w:val="20"/>
          <w:lang w:val="en-NZ"/>
        </w:rPr>
        <w:t>also noted that her team enjoyed having the accountability for results approval.</w:t>
      </w:r>
    </w:p>
    <w:p w:rsidR="0065661B" w:rsidRPr="00405556" w:rsidRDefault="0065661B" w:rsidP="0065661B">
      <w:pPr>
        <w:rPr>
          <w:rFonts w:ascii="Arial" w:hAnsi="Arial" w:cs="Arial"/>
          <w:sz w:val="20"/>
          <w:szCs w:val="20"/>
        </w:rPr>
      </w:pPr>
      <w:r w:rsidRPr="00405556">
        <w:rPr>
          <w:rFonts w:ascii="Arial" w:hAnsi="Arial" w:cs="Arial"/>
          <w:sz w:val="20"/>
          <w:szCs w:val="20"/>
          <w:lang w:val="en-NZ"/>
        </w:rPr>
        <w:t xml:space="preserve">With the regular feed in through the Group Programme Committees, the Head of School </w:t>
      </w:r>
      <w:r w:rsidR="004C61DE">
        <w:rPr>
          <w:rFonts w:ascii="Arial" w:hAnsi="Arial" w:cs="Arial"/>
          <w:sz w:val="20"/>
          <w:szCs w:val="20"/>
          <w:lang w:val="en-NZ"/>
        </w:rPr>
        <w:t xml:space="preserve">felt that she </w:t>
      </w:r>
      <w:r w:rsidRPr="00405556">
        <w:rPr>
          <w:rFonts w:ascii="Arial" w:hAnsi="Arial" w:cs="Arial"/>
          <w:sz w:val="20"/>
          <w:szCs w:val="20"/>
          <w:lang w:val="en-NZ"/>
        </w:rPr>
        <w:t xml:space="preserve">was </w:t>
      </w:r>
      <w:r w:rsidR="004C61DE">
        <w:rPr>
          <w:rFonts w:ascii="Arial" w:hAnsi="Arial" w:cs="Arial"/>
          <w:sz w:val="20"/>
          <w:szCs w:val="20"/>
          <w:lang w:val="en-NZ"/>
        </w:rPr>
        <w:t xml:space="preserve">better </w:t>
      </w:r>
      <w:r w:rsidR="004C61DE" w:rsidRPr="00405556">
        <w:rPr>
          <w:rFonts w:ascii="Arial" w:hAnsi="Arial" w:cs="Arial"/>
          <w:sz w:val="20"/>
          <w:szCs w:val="20"/>
          <w:lang w:val="en-NZ"/>
        </w:rPr>
        <w:t>informed</w:t>
      </w:r>
      <w:r w:rsidRPr="00405556">
        <w:rPr>
          <w:rFonts w:ascii="Arial" w:hAnsi="Arial" w:cs="Arial"/>
          <w:sz w:val="20"/>
          <w:szCs w:val="20"/>
          <w:lang w:val="en-NZ"/>
        </w:rPr>
        <w:t xml:space="preserve"> about student progress, about teaching, learning and assessment</w:t>
      </w:r>
      <w:r w:rsidR="004C61DE">
        <w:rPr>
          <w:rFonts w:ascii="Arial" w:hAnsi="Arial" w:cs="Arial"/>
          <w:sz w:val="20"/>
          <w:szCs w:val="20"/>
          <w:lang w:val="en-NZ"/>
        </w:rPr>
        <w:t>,</w:t>
      </w:r>
      <w:r w:rsidRPr="00405556">
        <w:rPr>
          <w:rFonts w:ascii="Arial" w:hAnsi="Arial" w:cs="Arial"/>
          <w:sz w:val="20"/>
          <w:szCs w:val="20"/>
          <w:lang w:val="en-NZ"/>
        </w:rPr>
        <w:t xml:space="preserve"> and also about staff matters.  This appeared to impact on </w:t>
      </w:r>
      <w:r w:rsidR="00DC13C4" w:rsidRPr="00405556">
        <w:rPr>
          <w:rFonts w:ascii="Arial" w:hAnsi="Arial" w:cs="Arial"/>
          <w:sz w:val="20"/>
          <w:szCs w:val="20"/>
          <w:lang w:val="en-NZ"/>
        </w:rPr>
        <w:t>her</w:t>
      </w:r>
      <w:r w:rsidR="00380350">
        <w:rPr>
          <w:rFonts w:ascii="Arial" w:hAnsi="Arial" w:cs="Arial"/>
          <w:sz w:val="20"/>
          <w:szCs w:val="20"/>
          <w:lang w:val="en-NZ"/>
        </w:rPr>
        <w:t xml:space="preserve"> production of the Health of t</w:t>
      </w:r>
      <w:r w:rsidRPr="00405556">
        <w:rPr>
          <w:rFonts w:ascii="Arial" w:hAnsi="Arial" w:cs="Arial"/>
          <w:sz w:val="20"/>
          <w:szCs w:val="20"/>
          <w:lang w:val="en-NZ"/>
        </w:rPr>
        <w:t>he School report in March of this year</w:t>
      </w:r>
      <w:r w:rsidR="00207B3F">
        <w:rPr>
          <w:rFonts w:ascii="Arial" w:hAnsi="Arial" w:cs="Arial"/>
          <w:sz w:val="20"/>
          <w:szCs w:val="20"/>
          <w:lang w:val="en-NZ"/>
        </w:rPr>
        <w:t xml:space="preserve"> in that this was much easier </w:t>
      </w:r>
      <w:r w:rsidR="00A13CBA">
        <w:rPr>
          <w:rFonts w:ascii="Arial" w:hAnsi="Arial" w:cs="Arial"/>
          <w:sz w:val="20"/>
          <w:szCs w:val="20"/>
          <w:lang w:val="en-NZ"/>
        </w:rPr>
        <w:t xml:space="preserve">and quicker </w:t>
      </w:r>
      <w:r w:rsidR="00207B3F">
        <w:rPr>
          <w:rFonts w:ascii="Arial" w:hAnsi="Arial" w:cs="Arial"/>
          <w:sz w:val="20"/>
          <w:szCs w:val="20"/>
          <w:lang w:val="en-NZ"/>
        </w:rPr>
        <w:t>to achieve.</w:t>
      </w:r>
    </w:p>
    <w:p w:rsidR="0065661B" w:rsidRPr="00405556" w:rsidRDefault="0065661B" w:rsidP="0065661B">
      <w:pPr>
        <w:rPr>
          <w:rFonts w:ascii="Arial" w:hAnsi="Arial" w:cs="Arial"/>
          <w:sz w:val="20"/>
          <w:szCs w:val="20"/>
          <w:lang w:val="en-NZ"/>
        </w:rPr>
      </w:pPr>
      <w:r w:rsidRPr="00405556">
        <w:rPr>
          <w:rFonts w:ascii="Arial" w:hAnsi="Arial" w:cs="Arial"/>
          <w:sz w:val="20"/>
          <w:szCs w:val="20"/>
          <w:lang w:val="en-NZ"/>
        </w:rPr>
        <w:t xml:space="preserve">A further process change was apparent in March 2011.    The Head of the School of Applied Science chose to call an all school meeting for the presentation of the 2010 APRs.  That is rather than use the smaller membership of the </w:t>
      </w:r>
      <w:r w:rsidR="002E360C">
        <w:rPr>
          <w:rFonts w:ascii="Arial" w:hAnsi="Arial" w:cs="Arial"/>
          <w:sz w:val="20"/>
          <w:szCs w:val="20"/>
          <w:lang w:val="en-NZ"/>
        </w:rPr>
        <w:t>School B</w:t>
      </w:r>
      <w:r w:rsidRPr="00405556">
        <w:rPr>
          <w:rFonts w:ascii="Arial" w:hAnsi="Arial" w:cs="Arial"/>
          <w:sz w:val="20"/>
          <w:szCs w:val="20"/>
          <w:lang w:val="en-NZ"/>
        </w:rPr>
        <w:t xml:space="preserve">oard of Studies, he invited all administrative, tutorial and technician staff to participate in the APR presentations.  </w:t>
      </w:r>
      <w:r w:rsidR="00207B3F">
        <w:rPr>
          <w:rFonts w:ascii="Arial" w:hAnsi="Arial" w:cs="Arial"/>
          <w:sz w:val="20"/>
          <w:szCs w:val="20"/>
          <w:lang w:val="en-NZ"/>
        </w:rPr>
        <w:t>This wider participation meant that staff learned about other programme areas and strategies that had been used to support students.  The Head of School</w:t>
      </w:r>
      <w:r w:rsidRPr="00405556">
        <w:rPr>
          <w:rFonts w:ascii="Arial" w:hAnsi="Arial" w:cs="Arial"/>
          <w:sz w:val="20"/>
          <w:szCs w:val="20"/>
          <w:lang w:val="en-NZ"/>
        </w:rPr>
        <w:t xml:space="preserve"> also called for his team to take a closer look at trends in their programmes of study over the last three years.</w:t>
      </w:r>
      <w:r w:rsidR="00207B3F">
        <w:rPr>
          <w:rFonts w:ascii="Arial" w:hAnsi="Arial" w:cs="Arial"/>
          <w:sz w:val="20"/>
          <w:szCs w:val="20"/>
          <w:lang w:val="en-NZ"/>
        </w:rPr>
        <w:t xml:space="preserve">  In this way, he reinforced the need for greater analysis of the data.</w:t>
      </w:r>
    </w:p>
    <w:p w:rsidR="0065661B" w:rsidRPr="00405556" w:rsidRDefault="0065661B" w:rsidP="0065661B">
      <w:pPr>
        <w:rPr>
          <w:rFonts w:ascii="Arial" w:hAnsi="Arial" w:cs="Arial"/>
          <w:sz w:val="20"/>
          <w:szCs w:val="20"/>
        </w:rPr>
      </w:pPr>
    </w:p>
    <w:p w:rsidR="0065661B" w:rsidRPr="00405556" w:rsidRDefault="0065661B" w:rsidP="0065661B">
      <w:pPr>
        <w:rPr>
          <w:rFonts w:ascii="Arial" w:hAnsi="Arial" w:cs="Arial"/>
          <w:b/>
          <w:sz w:val="20"/>
          <w:szCs w:val="20"/>
        </w:rPr>
      </w:pPr>
      <w:r w:rsidRPr="00405556">
        <w:rPr>
          <w:rFonts w:ascii="Arial" w:hAnsi="Arial" w:cs="Arial"/>
          <w:b/>
          <w:sz w:val="20"/>
          <w:szCs w:val="20"/>
        </w:rPr>
        <w:t>Where to next?</w:t>
      </w:r>
    </w:p>
    <w:p w:rsidR="0065661B" w:rsidRPr="00405556" w:rsidRDefault="0065661B" w:rsidP="0065661B">
      <w:pPr>
        <w:rPr>
          <w:rFonts w:ascii="Arial" w:hAnsi="Arial" w:cs="Arial"/>
          <w:sz w:val="20"/>
          <w:szCs w:val="20"/>
        </w:rPr>
      </w:pPr>
      <w:r w:rsidRPr="00405556">
        <w:rPr>
          <w:rFonts w:ascii="Arial" w:hAnsi="Arial" w:cs="Arial"/>
          <w:sz w:val="20"/>
          <w:szCs w:val="20"/>
        </w:rPr>
        <w:t>As mentioned at</w:t>
      </w:r>
      <w:r w:rsidR="002E360C">
        <w:rPr>
          <w:rFonts w:ascii="Arial" w:hAnsi="Arial" w:cs="Arial"/>
          <w:sz w:val="20"/>
          <w:szCs w:val="20"/>
        </w:rPr>
        <w:t xml:space="preserve"> the outset of this paper</w:t>
      </w:r>
      <w:r w:rsidRPr="00405556">
        <w:rPr>
          <w:rFonts w:ascii="Arial" w:hAnsi="Arial" w:cs="Arial"/>
          <w:sz w:val="20"/>
          <w:szCs w:val="20"/>
        </w:rPr>
        <w:t xml:space="preserve">, we are on a continuum of improvement.  </w:t>
      </w:r>
    </w:p>
    <w:p w:rsidR="0065661B" w:rsidRPr="00405556" w:rsidRDefault="00DC13C4" w:rsidP="0065661B">
      <w:pPr>
        <w:rPr>
          <w:rFonts w:ascii="Arial" w:hAnsi="Arial" w:cs="Arial"/>
          <w:sz w:val="20"/>
          <w:szCs w:val="20"/>
        </w:rPr>
      </w:pPr>
      <w:r w:rsidRPr="00405556">
        <w:rPr>
          <w:rFonts w:ascii="Arial" w:hAnsi="Arial" w:cs="Arial"/>
          <w:sz w:val="20"/>
          <w:szCs w:val="20"/>
        </w:rPr>
        <w:t>Early indications are</w:t>
      </w:r>
      <w:r w:rsidR="0065661B" w:rsidRPr="00405556">
        <w:rPr>
          <w:rFonts w:ascii="Arial" w:hAnsi="Arial" w:cs="Arial"/>
          <w:sz w:val="20"/>
          <w:szCs w:val="20"/>
        </w:rPr>
        <w:t xml:space="preserve"> that the change in the way that Annual Programme Review reporting is done is having a positive impact on culture change. </w:t>
      </w:r>
    </w:p>
    <w:p w:rsidR="0065661B" w:rsidRPr="00405556" w:rsidRDefault="0065661B" w:rsidP="0065661B">
      <w:pPr>
        <w:rPr>
          <w:rFonts w:ascii="Arial" w:hAnsi="Arial" w:cs="Arial"/>
          <w:sz w:val="20"/>
          <w:szCs w:val="20"/>
        </w:rPr>
      </w:pPr>
      <w:r w:rsidRPr="00405556">
        <w:rPr>
          <w:rFonts w:ascii="Arial" w:hAnsi="Arial" w:cs="Arial"/>
          <w:sz w:val="20"/>
          <w:szCs w:val="20"/>
        </w:rPr>
        <w:t xml:space="preserve">Our place on the continuum is affected by the evolving understanding of and confidence in self evaluation.  It is also affected by the increasing levels of trust applied through a more organic </w:t>
      </w:r>
      <w:r w:rsidR="00A13CBA">
        <w:rPr>
          <w:rFonts w:ascii="Arial" w:hAnsi="Arial" w:cs="Arial"/>
          <w:sz w:val="20"/>
          <w:szCs w:val="20"/>
        </w:rPr>
        <w:t xml:space="preserve">academic and </w:t>
      </w:r>
      <w:r w:rsidRPr="00405556">
        <w:rPr>
          <w:rFonts w:ascii="Arial" w:hAnsi="Arial" w:cs="Arial"/>
          <w:sz w:val="20"/>
          <w:szCs w:val="20"/>
        </w:rPr>
        <w:t xml:space="preserve">administrative decision making structure.  And finally, by </w:t>
      </w:r>
      <w:r w:rsidR="001E065E">
        <w:rPr>
          <w:rFonts w:ascii="Arial" w:hAnsi="Arial" w:cs="Arial"/>
          <w:sz w:val="20"/>
          <w:szCs w:val="20"/>
        </w:rPr>
        <w:t xml:space="preserve">using </w:t>
      </w:r>
      <w:r w:rsidRPr="00405556">
        <w:rPr>
          <w:rFonts w:ascii="Arial" w:hAnsi="Arial" w:cs="Arial"/>
          <w:sz w:val="20"/>
          <w:szCs w:val="20"/>
        </w:rPr>
        <w:t xml:space="preserve">a multi layered but increasingly integrated application of improvement processes.  </w:t>
      </w:r>
    </w:p>
    <w:p w:rsidR="0065661B" w:rsidRDefault="0065661B" w:rsidP="0065661B">
      <w:pPr>
        <w:rPr>
          <w:rFonts w:ascii="Arial" w:hAnsi="Arial" w:cs="Arial"/>
          <w:sz w:val="20"/>
          <w:szCs w:val="20"/>
        </w:rPr>
      </w:pPr>
      <w:r w:rsidRPr="00405556">
        <w:rPr>
          <w:rFonts w:ascii="Arial" w:hAnsi="Arial" w:cs="Arial"/>
          <w:sz w:val="20"/>
          <w:szCs w:val="20"/>
        </w:rPr>
        <w:t>As a heads up on improvement for the future, we are now looking at a greater synergy between the BoPP Strategic Directions and Planning process, performance development, business unit self evaluation, and programme health.  It is an exciting place to be – watch this space</w:t>
      </w:r>
      <w:r w:rsidR="00DC13C4" w:rsidRPr="00405556">
        <w:rPr>
          <w:rFonts w:ascii="Arial" w:hAnsi="Arial" w:cs="Arial"/>
          <w:sz w:val="20"/>
          <w:szCs w:val="20"/>
        </w:rPr>
        <w:t>.</w:t>
      </w:r>
    </w:p>
    <w:p w:rsidR="00A13CBA" w:rsidRPr="00405556" w:rsidRDefault="00A13CBA" w:rsidP="0065661B">
      <w:pPr>
        <w:rPr>
          <w:rFonts w:ascii="Arial" w:hAnsi="Arial" w:cs="Arial"/>
          <w:sz w:val="20"/>
          <w:szCs w:val="20"/>
        </w:rPr>
      </w:pPr>
    </w:p>
    <w:p w:rsidR="004958B2" w:rsidRPr="00405556" w:rsidRDefault="004958B2" w:rsidP="004958B2">
      <w:pPr>
        <w:rPr>
          <w:rFonts w:ascii="Arial" w:hAnsi="Arial" w:cs="Arial"/>
          <w:b/>
          <w:sz w:val="20"/>
          <w:szCs w:val="20"/>
        </w:rPr>
      </w:pPr>
      <w:r w:rsidRPr="00405556">
        <w:rPr>
          <w:rFonts w:ascii="Arial" w:hAnsi="Arial" w:cs="Arial"/>
          <w:b/>
          <w:sz w:val="20"/>
          <w:szCs w:val="20"/>
        </w:rPr>
        <w:t>References</w:t>
      </w:r>
    </w:p>
    <w:p w:rsidR="004958B2" w:rsidRPr="00405556" w:rsidRDefault="004958B2" w:rsidP="004958B2">
      <w:pPr>
        <w:rPr>
          <w:rFonts w:ascii="Arial" w:hAnsi="Arial" w:cs="Arial"/>
          <w:sz w:val="20"/>
          <w:szCs w:val="20"/>
        </w:rPr>
      </w:pPr>
      <w:r w:rsidRPr="00405556">
        <w:rPr>
          <w:rFonts w:ascii="Arial" w:hAnsi="Arial" w:cs="Arial"/>
          <w:sz w:val="20"/>
          <w:szCs w:val="20"/>
        </w:rPr>
        <w:t xml:space="preserve">Fullan, M.G. (1992) ‘Visions that Blind’, </w:t>
      </w:r>
      <w:r w:rsidRPr="00405556">
        <w:rPr>
          <w:rFonts w:ascii="Arial" w:hAnsi="Arial" w:cs="Arial"/>
          <w:sz w:val="20"/>
          <w:szCs w:val="20"/>
          <w:u w:val="single"/>
        </w:rPr>
        <w:t>Educational Leadership</w:t>
      </w:r>
      <w:r w:rsidRPr="00405556">
        <w:rPr>
          <w:rFonts w:ascii="Arial" w:hAnsi="Arial" w:cs="Arial"/>
          <w:sz w:val="20"/>
          <w:szCs w:val="20"/>
        </w:rPr>
        <w:t>, February. Pp19-20.</w:t>
      </w:r>
    </w:p>
    <w:p w:rsidR="004958B2" w:rsidRPr="00405556" w:rsidRDefault="004958B2" w:rsidP="004958B2">
      <w:pPr>
        <w:spacing w:after="0"/>
        <w:rPr>
          <w:rFonts w:ascii="Arial" w:hAnsi="Arial" w:cs="Arial"/>
          <w:sz w:val="20"/>
          <w:szCs w:val="20"/>
        </w:rPr>
      </w:pPr>
      <w:r w:rsidRPr="00405556">
        <w:rPr>
          <w:rFonts w:ascii="Arial" w:hAnsi="Arial" w:cs="Arial"/>
          <w:sz w:val="20"/>
          <w:szCs w:val="20"/>
        </w:rPr>
        <w:t xml:space="preserve">Harvey, L. (1993) ‘Continuous quality improvement: A system wide view to quality in higher </w:t>
      </w:r>
    </w:p>
    <w:p w:rsidR="004958B2" w:rsidRPr="00405556" w:rsidRDefault="004958B2" w:rsidP="004958B2">
      <w:pPr>
        <w:spacing w:after="0"/>
        <w:ind w:left="720"/>
        <w:rPr>
          <w:rFonts w:ascii="Arial" w:hAnsi="Arial" w:cs="Arial"/>
          <w:sz w:val="20"/>
          <w:szCs w:val="20"/>
        </w:rPr>
      </w:pPr>
      <w:r w:rsidRPr="00405556">
        <w:rPr>
          <w:rFonts w:ascii="Arial" w:hAnsi="Arial" w:cs="Arial"/>
          <w:sz w:val="20"/>
          <w:szCs w:val="20"/>
        </w:rPr>
        <w:t xml:space="preserve">education’, draft contribution for Knight, P. (Ed.) (1994) </w:t>
      </w:r>
      <w:r w:rsidRPr="00405556">
        <w:rPr>
          <w:rFonts w:ascii="Arial" w:hAnsi="Arial" w:cs="Arial"/>
          <w:i/>
          <w:sz w:val="20"/>
          <w:szCs w:val="20"/>
        </w:rPr>
        <w:t>System-wide Curriculum Change</w:t>
      </w:r>
      <w:r w:rsidRPr="00405556">
        <w:rPr>
          <w:rFonts w:ascii="Arial" w:hAnsi="Arial" w:cs="Arial"/>
          <w:sz w:val="20"/>
          <w:szCs w:val="20"/>
        </w:rPr>
        <w:t>.  SEDA/OU Press.</w:t>
      </w:r>
    </w:p>
    <w:p w:rsidR="004958B2" w:rsidRPr="00405556" w:rsidRDefault="004958B2" w:rsidP="004958B2">
      <w:pPr>
        <w:spacing w:after="0"/>
        <w:ind w:left="720"/>
        <w:rPr>
          <w:rFonts w:ascii="Arial" w:hAnsi="Arial" w:cs="Arial"/>
          <w:sz w:val="20"/>
          <w:szCs w:val="20"/>
        </w:rPr>
      </w:pPr>
    </w:p>
    <w:p w:rsidR="004958B2" w:rsidRPr="00405556" w:rsidRDefault="004958B2" w:rsidP="004958B2">
      <w:pPr>
        <w:ind w:left="720" w:hanging="720"/>
        <w:rPr>
          <w:rFonts w:ascii="Arial" w:hAnsi="Arial" w:cs="Arial"/>
          <w:sz w:val="20"/>
          <w:szCs w:val="20"/>
        </w:rPr>
      </w:pPr>
      <w:r w:rsidRPr="00405556">
        <w:rPr>
          <w:rFonts w:ascii="Arial" w:hAnsi="Arial" w:cs="Arial"/>
          <w:sz w:val="20"/>
          <w:szCs w:val="20"/>
        </w:rPr>
        <w:t xml:space="preserve">Hausman, J.P. (1996) </w:t>
      </w:r>
      <w:r w:rsidRPr="00405556">
        <w:rPr>
          <w:rFonts w:ascii="Arial" w:hAnsi="Arial" w:cs="Arial"/>
          <w:i/>
          <w:sz w:val="20"/>
          <w:szCs w:val="20"/>
        </w:rPr>
        <w:t>The role of Programme Review in Enhancing Quality within a New Zealand Polytechnic:  How does it work and why does it work</w:t>
      </w:r>
      <w:r w:rsidRPr="00405556">
        <w:rPr>
          <w:rFonts w:ascii="Arial" w:hAnsi="Arial" w:cs="Arial"/>
          <w:sz w:val="20"/>
          <w:szCs w:val="20"/>
        </w:rPr>
        <w:t>?  Administrative project submitted in partial fulfillment of the requirements for the degree of Masters of Educational Administration, Massey Univer</w:t>
      </w:r>
      <w:r w:rsidRPr="00405556">
        <w:rPr>
          <w:rFonts w:ascii="Arial" w:hAnsi="Arial" w:cs="Arial"/>
          <w:i/>
          <w:sz w:val="20"/>
          <w:szCs w:val="20"/>
        </w:rPr>
        <w:t>s</w:t>
      </w:r>
      <w:r w:rsidRPr="00405556">
        <w:rPr>
          <w:rFonts w:ascii="Arial" w:hAnsi="Arial" w:cs="Arial"/>
          <w:sz w:val="20"/>
          <w:szCs w:val="20"/>
        </w:rPr>
        <w:t>ity.</w:t>
      </w:r>
    </w:p>
    <w:p w:rsidR="004958B2" w:rsidRPr="00405556" w:rsidRDefault="004958B2" w:rsidP="004958B2">
      <w:pPr>
        <w:ind w:left="720" w:hanging="720"/>
        <w:rPr>
          <w:rFonts w:ascii="Arial" w:hAnsi="Arial" w:cs="Arial"/>
          <w:sz w:val="20"/>
          <w:szCs w:val="20"/>
        </w:rPr>
      </w:pPr>
      <w:r w:rsidRPr="00405556">
        <w:rPr>
          <w:rFonts w:ascii="Arial" w:hAnsi="Arial" w:cs="Arial"/>
          <w:sz w:val="20"/>
          <w:szCs w:val="20"/>
        </w:rPr>
        <w:t xml:space="preserve">Hausman, J.P. (2010) </w:t>
      </w:r>
      <w:r w:rsidRPr="00405556">
        <w:rPr>
          <w:rFonts w:ascii="Arial" w:hAnsi="Arial" w:cs="Arial"/>
          <w:i/>
          <w:sz w:val="20"/>
          <w:szCs w:val="20"/>
        </w:rPr>
        <w:t xml:space="preserve">Annual Programme Review: Episodic self-assessment event or real catalyst for continuous improvement? , </w:t>
      </w:r>
      <w:r w:rsidRPr="00405556">
        <w:rPr>
          <w:rFonts w:ascii="Arial" w:hAnsi="Arial" w:cs="Arial"/>
          <w:sz w:val="20"/>
          <w:szCs w:val="20"/>
        </w:rPr>
        <w:t>Self-Assessment for Quality: How do you know good when you see it?  Proceedings pf the conference hosted by Otago Polytechnic,  2</w:t>
      </w:r>
      <w:r w:rsidRPr="00405556">
        <w:rPr>
          <w:rFonts w:ascii="Arial" w:hAnsi="Arial" w:cs="Arial"/>
          <w:sz w:val="20"/>
          <w:szCs w:val="20"/>
          <w:vertAlign w:val="superscript"/>
        </w:rPr>
        <w:t>nd</w:t>
      </w:r>
      <w:r w:rsidRPr="00405556">
        <w:rPr>
          <w:rFonts w:ascii="Arial" w:hAnsi="Arial" w:cs="Arial"/>
          <w:sz w:val="20"/>
          <w:szCs w:val="20"/>
        </w:rPr>
        <w:t xml:space="preserve"> and 3</w:t>
      </w:r>
      <w:r w:rsidRPr="00405556">
        <w:rPr>
          <w:rFonts w:ascii="Arial" w:hAnsi="Arial" w:cs="Arial"/>
          <w:sz w:val="20"/>
          <w:szCs w:val="20"/>
          <w:vertAlign w:val="superscript"/>
        </w:rPr>
        <w:t>rd</w:t>
      </w:r>
      <w:r w:rsidR="00E522CA" w:rsidRPr="00405556">
        <w:rPr>
          <w:rFonts w:ascii="Arial" w:hAnsi="Arial" w:cs="Arial"/>
          <w:sz w:val="20"/>
          <w:szCs w:val="20"/>
        </w:rPr>
        <w:t xml:space="preserve"> December 2010.  pp</w:t>
      </w:r>
      <w:r w:rsidRPr="00405556">
        <w:rPr>
          <w:rFonts w:ascii="Arial" w:hAnsi="Arial" w:cs="Arial"/>
          <w:sz w:val="20"/>
          <w:szCs w:val="20"/>
        </w:rPr>
        <w:t>71-78.</w:t>
      </w:r>
    </w:p>
    <w:p w:rsidR="004958B2" w:rsidRPr="00405556" w:rsidRDefault="004958B2" w:rsidP="004958B2">
      <w:pPr>
        <w:ind w:left="630" w:hanging="630"/>
        <w:rPr>
          <w:rFonts w:ascii="Arial" w:hAnsi="Arial" w:cs="Arial"/>
          <w:sz w:val="20"/>
          <w:szCs w:val="20"/>
        </w:rPr>
      </w:pPr>
      <w:r w:rsidRPr="00405556">
        <w:rPr>
          <w:rFonts w:ascii="Arial" w:hAnsi="Arial" w:cs="Arial"/>
          <w:sz w:val="20"/>
          <w:szCs w:val="20"/>
        </w:rPr>
        <w:t xml:space="preserve">Hopkins, D. (1994) “Process Indicators for School Improvement” in </w:t>
      </w:r>
      <w:r w:rsidRPr="00405556">
        <w:rPr>
          <w:rFonts w:ascii="Arial" w:hAnsi="Arial" w:cs="Arial"/>
          <w:i/>
          <w:sz w:val="20"/>
          <w:szCs w:val="20"/>
        </w:rPr>
        <w:t>OECD Making Education Count: Developing and Using International Indicators.</w:t>
      </w:r>
      <w:r w:rsidRPr="00405556">
        <w:rPr>
          <w:rFonts w:ascii="Arial" w:hAnsi="Arial" w:cs="Arial"/>
          <w:sz w:val="20"/>
          <w:szCs w:val="20"/>
        </w:rPr>
        <w:t xml:space="preserve">  Centre for Educational Research and Innovation, pp149-170.</w:t>
      </w:r>
    </w:p>
    <w:p w:rsidR="004958B2" w:rsidRPr="00405556" w:rsidRDefault="004958B2" w:rsidP="004958B2">
      <w:pPr>
        <w:rPr>
          <w:rFonts w:ascii="Arial" w:hAnsi="Arial" w:cs="Arial"/>
          <w:sz w:val="20"/>
          <w:szCs w:val="20"/>
          <w:u w:val="single"/>
        </w:rPr>
      </w:pPr>
      <w:r w:rsidRPr="00405556">
        <w:rPr>
          <w:rFonts w:ascii="Arial" w:hAnsi="Arial" w:cs="Arial"/>
          <w:sz w:val="20"/>
          <w:szCs w:val="20"/>
        </w:rPr>
        <w:t>King, S. (1998) Discussions at the Expert Advisory Group on Quality Assurance, Wellington.</w:t>
      </w:r>
    </w:p>
    <w:p w:rsidR="003C485B" w:rsidRPr="00405556" w:rsidRDefault="004958B2" w:rsidP="003C485B">
      <w:pPr>
        <w:ind w:left="630" w:hanging="630"/>
        <w:rPr>
          <w:rFonts w:ascii="Arial" w:hAnsi="Arial" w:cs="Arial"/>
          <w:sz w:val="20"/>
          <w:szCs w:val="20"/>
        </w:rPr>
      </w:pPr>
      <w:r w:rsidRPr="00405556">
        <w:rPr>
          <w:rFonts w:ascii="Arial" w:hAnsi="Arial" w:cs="Arial"/>
          <w:sz w:val="20"/>
          <w:szCs w:val="20"/>
        </w:rPr>
        <w:t xml:space="preserve">Leithwood, K.A. (1992) ‘The Move Towards Transformational Leadership’. </w:t>
      </w:r>
      <w:r w:rsidRPr="00405556">
        <w:rPr>
          <w:rFonts w:ascii="Arial" w:hAnsi="Arial" w:cs="Arial"/>
          <w:i/>
          <w:sz w:val="20"/>
          <w:szCs w:val="20"/>
        </w:rPr>
        <w:t>Educational Leadership</w:t>
      </w:r>
      <w:r w:rsidRPr="00405556">
        <w:rPr>
          <w:rFonts w:ascii="Arial" w:hAnsi="Arial" w:cs="Arial"/>
          <w:sz w:val="20"/>
          <w:szCs w:val="20"/>
        </w:rPr>
        <w:t>, February pp8-12.</w:t>
      </w:r>
    </w:p>
    <w:p w:rsidR="004958B2" w:rsidRPr="00405556" w:rsidRDefault="004958B2" w:rsidP="003C485B">
      <w:pPr>
        <w:ind w:left="630" w:hanging="630"/>
        <w:rPr>
          <w:rFonts w:ascii="Arial" w:hAnsi="Arial" w:cs="Arial"/>
          <w:sz w:val="20"/>
          <w:szCs w:val="20"/>
        </w:rPr>
      </w:pPr>
      <w:r w:rsidRPr="00405556">
        <w:rPr>
          <w:rFonts w:ascii="Arial" w:hAnsi="Arial" w:cs="Arial"/>
          <w:sz w:val="20"/>
          <w:szCs w:val="20"/>
        </w:rPr>
        <w:t xml:space="preserve">Murphy, J. (1990) </w:t>
      </w:r>
      <w:r w:rsidRPr="00405556">
        <w:rPr>
          <w:rFonts w:ascii="Arial" w:hAnsi="Arial" w:cs="Arial"/>
          <w:i/>
          <w:sz w:val="20"/>
          <w:szCs w:val="20"/>
        </w:rPr>
        <w:t>SEER Manual.  A Reference Guide for Higher Education Research and Development Units,</w:t>
      </w:r>
      <w:r w:rsidRPr="00405556">
        <w:rPr>
          <w:rFonts w:ascii="Arial" w:hAnsi="Arial" w:cs="Arial"/>
          <w:sz w:val="20"/>
          <w:szCs w:val="20"/>
        </w:rPr>
        <w:t xml:space="preserve"> Singapore.</w:t>
      </w:r>
    </w:p>
    <w:p w:rsidR="004958B2" w:rsidRPr="00405556" w:rsidRDefault="004958B2" w:rsidP="003C485B">
      <w:pPr>
        <w:ind w:left="630" w:hanging="630"/>
        <w:rPr>
          <w:rFonts w:ascii="Arial" w:hAnsi="Arial" w:cs="Arial"/>
          <w:sz w:val="20"/>
          <w:szCs w:val="20"/>
        </w:rPr>
      </w:pPr>
      <w:r w:rsidRPr="00405556">
        <w:rPr>
          <w:rFonts w:ascii="Arial" w:hAnsi="Arial" w:cs="Arial"/>
          <w:sz w:val="20"/>
          <w:szCs w:val="20"/>
        </w:rPr>
        <w:t xml:space="preserve">Robbins, A. </w:t>
      </w:r>
      <w:r w:rsidR="003C485B" w:rsidRPr="00405556">
        <w:rPr>
          <w:rFonts w:ascii="Arial" w:hAnsi="Arial" w:cs="Arial"/>
          <w:sz w:val="20"/>
          <w:szCs w:val="20"/>
        </w:rPr>
        <w:t xml:space="preserve"> </w:t>
      </w:r>
      <w:r w:rsidR="00DC13C4" w:rsidRPr="00405556">
        <w:rPr>
          <w:rFonts w:ascii="Arial" w:hAnsi="Arial" w:cs="Arial"/>
          <w:sz w:val="20"/>
          <w:szCs w:val="20"/>
        </w:rPr>
        <w:t xml:space="preserve">(2011) </w:t>
      </w:r>
      <w:r w:rsidRPr="00405556">
        <w:rPr>
          <w:rFonts w:ascii="Arial" w:hAnsi="Arial" w:cs="Arial"/>
          <w:color w:val="000000"/>
          <w:sz w:val="20"/>
          <w:szCs w:val="20"/>
        </w:rPr>
        <w:t xml:space="preserve">ThinkExist.com Quotations. “Anthony Robbins quotes”. </w:t>
      </w:r>
      <w:r w:rsidRPr="00405556">
        <w:rPr>
          <w:rFonts w:ascii="Arial" w:hAnsi="Arial" w:cs="Arial"/>
          <w:color w:val="000000"/>
          <w:sz w:val="20"/>
          <w:szCs w:val="20"/>
          <w:u w:val="single"/>
        </w:rPr>
        <w:t>ThinkExist.com Quotations Online</w:t>
      </w:r>
      <w:r w:rsidRPr="00405556">
        <w:rPr>
          <w:rFonts w:ascii="Arial" w:hAnsi="Arial" w:cs="Arial"/>
          <w:color w:val="000000"/>
          <w:sz w:val="20"/>
          <w:szCs w:val="20"/>
        </w:rPr>
        <w:t xml:space="preserve"> 1 Jun. 2011. 23 Jul. 2011 &lt;http://einstein/quotes/anthony_robbins/</w:t>
      </w:r>
    </w:p>
    <w:p w:rsidR="004958B2" w:rsidRPr="00405556" w:rsidRDefault="004958B2" w:rsidP="003C485B">
      <w:pPr>
        <w:ind w:left="630" w:hanging="630"/>
        <w:rPr>
          <w:rFonts w:ascii="Arial" w:hAnsi="Arial" w:cs="Arial"/>
          <w:sz w:val="20"/>
          <w:szCs w:val="20"/>
        </w:rPr>
      </w:pPr>
      <w:r w:rsidRPr="00405556">
        <w:rPr>
          <w:rFonts w:ascii="Arial" w:hAnsi="Arial" w:cs="Arial"/>
          <w:sz w:val="20"/>
          <w:szCs w:val="20"/>
        </w:rPr>
        <w:t xml:space="preserve">Stewart, D. and Prebble, T. (1993) </w:t>
      </w:r>
      <w:r w:rsidRPr="00405556">
        <w:rPr>
          <w:rFonts w:ascii="Arial" w:hAnsi="Arial" w:cs="Arial"/>
          <w:i/>
          <w:sz w:val="20"/>
          <w:szCs w:val="20"/>
        </w:rPr>
        <w:t xml:space="preserve">The Reflective Principal:  School Development within a Leaning Community.  </w:t>
      </w:r>
      <w:r w:rsidRPr="00405556">
        <w:rPr>
          <w:rFonts w:ascii="Arial" w:hAnsi="Arial" w:cs="Arial"/>
          <w:sz w:val="20"/>
          <w:szCs w:val="20"/>
        </w:rPr>
        <w:t>ERDC Press: Massey University.</w:t>
      </w:r>
    </w:p>
    <w:p w:rsidR="00AA4805" w:rsidRPr="00405556" w:rsidRDefault="00AA4805" w:rsidP="0065661B">
      <w:pPr>
        <w:rPr>
          <w:rFonts w:ascii="Arial" w:hAnsi="Arial" w:cs="Arial"/>
          <w:sz w:val="20"/>
          <w:szCs w:val="20"/>
        </w:rPr>
      </w:pPr>
    </w:p>
    <w:p w:rsidR="00AA4805" w:rsidRDefault="00AA4805" w:rsidP="0065661B">
      <w:pPr>
        <w:rPr>
          <w:rFonts w:ascii="Arial" w:hAnsi="Arial" w:cs="Arial"/>
          <w:sz w:val="20"/>
          <w:szCs w:val="20"/>
        </w:rPr>
      </w:pPr>
    </w:p>
    <w:p w:rsidR="0050286B" w:rsidRDefault="0050286B" w:rsidP="0065661B">
      <w:pPr>
        <w:rPr>
          <w:rFonts w:ascii="Arial" w:hAnsi="Arial" w:cs="Arial"/>
          <w:sz w:val="20"/>
          <w:szCs w:val="20"/>
        </w:rPr>
      </w:pPr>
    </w:p>
    <w:p w:rsidR="0050286B" w:rsidRPr="00405556" w:rsidRDefault="0050286B" w:rsidP="0065661B">
      <w:pPr>
        <w:rPr>
          <w:rFonts w:ascii="Arial" w:hAnsi="Arial" w:cs="Arial"/>
          <w:sz w:val="20"/>
          <w:szCs w:val="20"/>
        </w:rPr>
      </w:pPr>
      <w:r>
        <w:rPr>
          <w:rFonts w:ascii="Arial" w:hAnsi="Arial" w:cs="Arial"/>
          <w:sz w:val="20"/>
          <w:szCs w:val="20"/>
        </w:rPr>
        <w:t>END</w:t>
      </w:r>
      <w:r w:rsidR="00C14DC7">
        <w:rPr>
          <w:rFonts w:ascii="Arial" w:hAnsi="Arial" w:cs="Arial"/>
          <w:sz w:val="20"/>
          <w:szCs w:val="20"/>
        </w:rPr>
        <w:t xml:space="preserve"> OF FILE</w:t>
      </w:r>
    </w:p>
    <w:sectPr w:rsidR="0050286B" w:rsidRPr="00405556" w:rsidSect="00B83E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0E" w:rsidRDefault="00C9740E" w:rsidP="0016473E">
      <w:pPr>
        <w:spacing w:after="0" w:line="240" w:lineRule="auto"/>
      </w:pPr>
      <w:r>
        <w:separator/>
      </w:r>
    </w:p>
  </w:endnote>
  <w:endnote w:type="continuationSeparator" w:id="0">
    <w:p w:rsidR="00C9740E" w:rsidRDefault="00C9740E" w:rsidP="0016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80350">
      <w:tc>
        <w:tcPr>
          <w:tcW w:w="918" w:type="dxa"/>
        </w:tcPr>
        <w:p w:rsidR="00380350" w:rsidRDefault="00CF6523">
          <w:pPr>
            <w:pStyle w:val="Footer"/>
            <w:jc w:val="right"/>
            <w:rPr>
              <w:b/>
              <w:color w:val="4F81BD" w:themeColor="accent1"/>
              <w:sz w:val="32"/>
              <w:szCs w:val="32"/>
            </w:rPr>
          </w:pPr>
          <w:r>
            <w:fldChar w:fldCharType="begin"/>
          </w:r>
          <w:r>
            <w:instrText xml:space="preserve"> PAGE   \* MERGEFORMAT </w:instrText>
          </w:r>
          <w:r>
            <w:fldChar w:fldCharType="separate"/>
          </w:r>
          <w:r w:rsidRPr="00CF6523">
            <w:rPr>
              <w:b/>
              <w:noProof/>
              <w:color w:val="4F81BD" w:themeColor="accent1"/>
              <w:sz w:val="32"/>
              <w:szCs w:val="32"/>
            </w:rPr>
            <w:t>1</w:t>
          </w:r>
          <w:r>
            <w:rPr>
              <w:b/>
              <w:noProof/>
              <w:color w:val="4F81BD" w:themeColor="accent1"/>
              <w:sz w:val="32"/>
              <w:szCs w:val="32"/>
            </w:rPr>
            <w:fldChar w:fldCharType="end"/>
          </w:r>
        </w:p>
      </w:tc>
      <w:tc>
        <w:tcPr>
          <w:tcW w:w="7938" w:type="dxa"/>
        </w:tcPr>
        <w:p w:rsidR="00380350" w:rsidRDefault="00CF6523">
          <w:pPr>
            <w:pStyle w:val="Footer"/>
          </w:pPr>
          <w:r>
            <w:fldChar w:fldCharType="begin"/>
          </w:r>
          <w:r>
            <w:instrText xml:space="preserve"> FILENAME   \* MERGEFORMAT </w:instrText>
          </w:r>
          <w:r>
            <w:fldChar w:fldCharType="separate"/>
          </w:r>
          <w:r w:rsidR="00332FB0" w:rsidRPr="00332FB0">
            <w:rPr>
              <w:noProof/>
              <w:sz w:val="18"/>
            </w:rPr>
            <w:t>AES Conference paper 2011.docx</w:t>
          </w:r>
          <w:r>
            <w:rPr>
              <w:noProof/>
              <w:sz w:val="18"/>
            </w:rPr>
            <w:fldChar w:fldCharType="end"/>
          </w:r>
        </w:p>
      </w:tc>
    </w:tr>
  </w:tbl>
  <w:p w:rsidR="00380350" w:rsidRDefault="00380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0E" w:rsidRDefault="00C9740E" w:rsidP="0016473E">
      <w:pPr>
        <w:spacing w:after="0" w:line="240" w:lineRule="auto"/>
      </w:pPr>
      <w:r>
        <w:separator/>
      </w:r>
    </w:p>
  </w:footnote>
  <w:footnote w:type="continuationSeparator" w:id="0">
    <w:p w:rsidR="00C9740E" w:rsidRDefault="00C9740E" w:rsidP="00164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3F0"/>
    <w:multiLevelType w:val="hybridMultilevel"/>
    <w:tmpl w:val="834ED08C"/>
    <w:lvl w:ilvl="0" w:tplc="4A9462EE">
      <w:start w:val="1"/>
      <w:numFmt w:val="bullet"/>
      <w:lvlText w:val="•"/>
      <w:lvlJc w:val="left"/>
      <w:pPr>
        <w:tabs>
          <w:tab w:val="num" w:pos="720"/>
        </w:tabs>
        <w:ind w:left="720" w:hanging="360"/>
      </w:pPr>
      <w:rPr>
        <w:rFonts w:ascii="Arial" w:hAnsi="Arial" w:hint="default"/>
      </w:rPr>
    </w:lvl>
    <w:lvl w:ilvl="1" w:tplc="D4D0E2B4" w:tentative="1">
      <w:start w:val="1"/>
      <w:numFmt w:val="bullet"/>
      <w:lvlText w:val="•"/>
      <w:lvlJc w:val="left"/>
      <w:pPr>
        <w:tabs>
          <w:tab w:val="num" w:pos="1440"/>
        </w:tabs>
        <w:ind w:left="1440" w:hanging="360"/>
      </w:pPr>
      <w:rPr>
        <w:rFonts w:ascii="Arial" w:hAnsi="Arial" w:hint="default"/>
      </w:rPr>
    </w:lvl>
    <w:lvl w:ilvl="2" w:tplc="BACEF452" w:tentative="1">
      <w:start w:val="1"/>
      <w:numFmt w:val="bullet"/>
      <w:lvlText w:val="•"/>
      <w:lvlJc w:val="left"/>
      <w:pPr>
        <w:tabs>
          <w:tab w:val="num" w:pos="2160"/>
        </w:tabs>
        <w:ind w:left="2160" w:hanging="360"/>
      </w:pPr>
      <w:rPr>
        <w:rFonts w:ascii="Arial" w:hAnsi="Arial" w:hint="default"/>
      </w:rPr>
    </w:lvl>
    <w:lvl w:ilvl="3" w:tplc="7D00CF04" w:tentative="1">
      <w:start w:val="1"/>
      <w:numFmt w:val="bullet"/>
      <w:lvlText w:val="•"/>
      <w:lvlJc w:val="left"/>
      <w:pPr>
        <w:tabs>
          <w:tab w:val="num" w:pos="2880"/>
        </w:tabs>
        <w:ind w:left="2880" w:hanging="360"/>
      </w:pPr>
      <w:rPr>
        <w:rFonts w:ascii="Arial" w:hAnsi="Arial" w:hint="default"/>
      </w:rPr>
    </w:lvl>
    <w:lvl w:ilvl="4" w:tplc="72663B0E" w:tentative="1">
      <w:start w:val="1"/>
      <w:numFmt w:val="bullet"/>
      <w:lvlText w:val="•"/>
      <w:lvlJc w:val="left"/>
      <w:pPr>
        <w:tabs>
          <w:tab w:val="num" w:pos="3600"/>
        </w:tabs>
        <w:ind w:left="3600" w:hanging="360"/>
      </w:pPr>
      <w:rPr>
        <w:rFonts w:ascii="Arial" w:hAnsi="Arial" w:hint="default"/>
      </w:rPr>
    </w:lvl>
    <w:lvl w:ilvl="5" w:tplc="E81C14D6" w:tentative="1">
      <w:start w:val="1"/>
      <w:numFmt w:val="bullet"/>
      <w:lvlText w:val="•"/>
      <w:lvlJc w:val="left"/>
      <w:pPr>
        <w:tabs>
          <w:tab w:val="num" w:pos="4320"/>
        </w:tabs>
        <w:ind w:left="4320" w:hanging="360"/>
      </w:pPr>
      <w:rPr>
        <w:rFonts w:ascii="Arial" w:hAnsi="Arial" w:hint="default"/>
      </w:rPr>
    </w:lvl>
    <w:lvl w:ilvl="6" w:tplc="B4DC12CE" w:tentative="1">
      <w:start w:val="1"/>
      <w:numFmt w:val="bullet"/>
      <w:lvlText w:val="•"/>
      <w:lvlJc w:val="left"/>
      <w:pPr>
        <w:tabs>
          <w:tab w:val="num" w:pos="5040"/>
        </w:tabs>
        <w:ind w:left="5040" w:hanging="360"/>
      </w:pPr>
      <w:rPr>
        <w:rFonts w:ascii="Arial" w:hAnsi="Arial" w:hint="default"/>
      </w:rPr>
    </w:lvl>
    <w:lvl w:ilvl="7" w:tplc="D7BCD5E0" w:tentative="1">
      <w:start w:val="1"/>
      <w:numFmt w:val="bullet"/>
      <w:lvlText w:val="•"/>
      <w:lvlJc w:val="left"/>
      <w:pPr>
        <w:tabs>
          <w:tab w:val="num" w:pos="5760"/>
        </w:tabs>
        <w:ind w:left="5760" w:hanging="360"/>
      </w:pPr>
      <w:rPr>
        <w:rFonts w:ascii="Arial" w:hAnsi="Arial" w:hint="default"/>
      </w:rPr>
    </w:lvl>
    <w:lvl w:ilvl="8" w:tplc="6C7C588A" w:tentative="1">
      <w:start w:val="1"/>
      <w:numFmt w:val="bullet"/>
      <w:lvlText w:val="•"/>
      <w:lvlJc w:val="left"/>
      <w:pPr>
        <w:tabs>
          <w:tab w:val="num" w:pos="6480"/>
        </w:tabs>
        <w:ind w:left="6480" w:hanging="360"/>
      </w:pPr>
      <w:rPr>
        <w:rFonts w:ascii="Arial" w:hAnsi="Arial" w:hint="default"/>
      </w:rPr>
    </w:lvl>
  </w:abstractNum>
  <w:abstractNum w:abstractNumId="1">
    <w:nsid w:val="0A1F06E9"/>
    <w:multiLevelType w:val="hybridMultilevel"/>
    <w:tmpl w:val="A7AE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44F88"/>
    <w:multiLevelType w:val="hybridMultilevel"/>
    <w:tmpl w:val="D910B30C"/>
    <w:lvl w:ilvl="0" w:tplc="5B08D632">
      <w:start w:val="1"/>
      <w:numFmt w:val="bullet"/>
      <w:lvlText w:val="•"/>
      <w:lvlJc w:val="left"/>
      <w:pPr>
        <w:tabs>
          <w:tab w:val="num" w:pos="720"/>
        </w:tabs>
        <w:ind w:left="720" w:hanging="360"/>
      </w:pPr>
      <w:rPr>
        <w:rFonts w:ascii="Arial" w:hAnsi="Arial" w:hint="default"/>
      </w:rPr>
    </w:lvl>
    <w:lvl w:ilvl="1" w:tplc="B588D52C" w:tentative="1">
      <w:start w:val="1"/>
      <w:numFmt w:val="bullet"/>
      <w:lvlText w:val="•"/>
      <w:lvlJc w:val="left"/>
      <w:pPr>
        <w:tabs>
          <w:tab w:val="num" w:pos="1440"/>
        </w:tabs>
        <w:ind w:left="1440" w:hanging="360"/>
      </w:pPr>
      <w:rPr>
        <w:rFonts w:ascii="Arial" w:hAnsi="Arial" w:hint="default"/>
      </w:rPr>
    </w:lvl>
    <w:lvl w:ilvl="2" w:tplc="8E2258DC" w:tentative="1">
      <w:start w:val="1"/>
      <w:numFmt w:val="bullet"/>
      <w:lvlText w:val="•"/>
      <w:lvlJc w:val="left"/>
      <w:pPr>
        <w:tabs>
          <w:tab w:val="num" w:pos="2160"/>
        </w:tabs>
        <w:ind w:left="2160" w:hanging="360"/>
      </w:pPr>
      <w:rPr>
        <w:rFonts w:ascii="Arial" w:hAnsi="Arial" w:hint="default"/>
      </w:rPr>
    </w:lvl>
    <w:lvl w:ilvl="3" w:tplc="6BD8D08A" w:tentative="1">
      <w:start w:val="1"/>
      <w:numFmt w:val="bullet"/>
      <w:lvlText w:val="•"/>
      <w:lvlJc w:val="left"/>
      <w:pPr>
        <w:tabs>
          <w:tab w:val="num" w:pos="2880"/>
        </w:tabs>
        <w:ind w:left="2880" w:hanging="360"/>
      </w:pPr>
      <w:rPr>
        <w:rFonts w:ascii="Arial" w:hAnsi="Arial" w:hint="default"/>
      </w:rPr>
    </w:lvl>
    <w:lvl w:ilvl="4" w:tplc="E1A62482" w:tentative="1">
      <w:start w:val="1"/>
      <w:numFmt w:val="bullet"/>
      <w:lvlText w:val="•"/>
      <w:lvlJc w:val="left"/>
      <w:pPr>
        <w:tabs>
          <w:tab w:val="num" w:pos="3600"/>
        </w:tabs>
        <w:ind w:left="3600" w:hanging="360"/>
      </w:pPr>
      <w:rPr>
        <w:rFonts w:ascii="Arial" w:hAnsi="Arial" w:hint="default"/>
      </w:rPr>
    </w:lvl>
    <w:lvl w:ilvl="5" w:tplc="19A4EAE0" w:tentative="1">
      <w:start w:val="1"/>
      <w:numFmt w:val="bullet"/>
      <w:lvlText w:val="•"/>
      <w:lvlJc w:val="left"/>
      <w:pPr>
        <w:tabs>
          <w:tab w:val="num" w:pos="4320"/>
        </w:tabs>
        <w:ind w:left="4320" w:hanging="360"/>
      </w:pPr>
      <w:rPr>
        <w:rFonts w:ascii="Arial" w:hAnsi="Arial" w:hint="default"/>
      </w:rPr>
    </w:lvl>
    <w:lvl w:ilvl="6" w:tplc="5B00A00C" w:tentative="1">
      <w:start w:val="1"/>
      <w:numFmt w:val="bullet"/>
      <w:lvlText w:val="•"/>
      <w:lvlJc w:val="left"/>
      <w:pPr>
        <w:tabs>
          <w:tab w:val="num" w:pos="5040"/>
        </w:tabs>
        <w:ind w:left="5040" w:hanging="360"/>
      </w:pPr>
      <w:rPr>
        <w:rFonts w:ascii="Arial" w:hAnsi="Arial" w:hint="default"/>
      </w:rPr>
    </w:lvl>
    <w:lvl w:ilvl="7" w:tplc="585AEB28" w:tentative="1">
      <w:start w:val="1"/>
      <w:numFmt w:val="bullet"/>
      <w:lvlText w:val="•"/>
      <w:lvlJc w:val="left"/>
      <w:pPr>
        <w:tabs>
          <w:tab w:val="num" w:pos="5760"/>
        </w:tabs>
        <w:ind w:left="5760" w:hanging="360"/>
      </w:pPr>
      <w:rPr>
        <w:rFonts w:ascii="Arial" w:hAnsi="Arial" w:hint="default"/>
      </w:rPr>
    </w:lvl>
    <w:lvl w:ilvl="8" w:tplc="103E7B9A" w:tentative="1">
      <w:start w:val="1"/>
      <w:numFmt w:val="bullet"/>
      <w:lvlText w:val="•"/>
      <w:lvlJc w:val="left"/>
      <w:pPr>
        <w:tabs>
          <w:tab w:val="num" w:pos="6480"/>
        </w:tabs>
        <w:ind w:left="6480" w:hanging="360"/>
      </w:pPr>
      <w:rPr>
        <w:rFonts w:ascii="Arial" w:hAnsi="Arial" w:hint="default"/>
      </w:rPr>
    </w:lvl>
  </w:abstractNum>
  <w:abstractNum w:abstractNumId="3">
    <w:nsid w:val="1E637ECE"/>
    <w:multiLevelType w:val="hybridMultilevel"/>
    <w:tmpl w:val="0F0244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0950D37"/>
    <w:multiLevelType w:val="hybridMultilevel"/>
    <w:tmpl w:val="3C1A01CE"/>
    <w:lvl w:ilvl="0" w:tplc="8F702BA0">
      <w:start w:val="1"/>
      <w:numFmt w:val="bullet"/>
      <w:lvlText w:val="•"/>
      <w:lvlJc w:val="left"/>
      <w:pPr>
        <w:tabs>
          <w:tab w:val="num" w:pos="720"/>
        </w:tabs>
        <w:ind w:left="720" w:hanging="360"/>
      </w:pPr>
      <w:rPr>
        <w:rFonts w:ascii="Arial" w:hAnsi="Arial" w:hint="default"/>
      </w:rPr>
    </w:lvl>
    <w:lvl w:ilvl="1" w:tplc="185E582C" w:tentative="1">
      <w:start w:val="1"/>
      <w:numFmt w:val="bullet"/>
      <w:lvlText w:val="•"/>
      <w:lvlJc w:val="left"/>
      <w:pPr>
        <w:tabs>
          <w:tab w:val="num" w:pos="1440"/>
        </w:tabs>
        <w:ind w:left="1440" w:hanging="360"/>
      </w:pPr>
      <w:rPr>
        <w:rFonts w:ascii="Arial" w:hAnsi="Arial" w:hint="default"/>
      </w:rPr>
    </w:lvl>
    <w:lvl w:ilvl="2" w:tplc="F2B6E9F4" w:tentative="1">
      <w:start w:val="1"/>
      <w:numFmt w:val="bullet"/>
      <w:lvlText w:val="•"/>
      <w:lvlJc w:val="left"/>
      <w:pPr>
        <w:tabs>
          <w:tab w:val="num" w:pos="2160"/>
        </w:tabs>
        <w:ind w:left="2160" w:hanging="360"/>
      </w:pPr>
      <w:rPr>
        <w:rFonts w:ascii="Arial" w:hAnsi="Arial" w:hint="default"/>
      </w:rPr>
    </w:lvl>
    <w:lvl w:ilvl="3" w:tplc="C320453A" w:tentative="1">
      <w:start w:val="1"/>
      <w:numFmt w:val="bullet"/>
      <w:lvlText w:val="•"/>
      <w:lvlJc w:val="left"/>
      <w:pPr>
        <w:tabs>
          <w:tab w:val="num" w:pos="2880"/>
        </w:tabs>
        <w:ind w:left="2880" w:hanging="360"/>
      </w:pPr>
      <w:rPr>
        <w:rFonts w:ascii="Arial" w:hAnsi="Arial" w:hint="default"/>
      </w:rPr>
    </w:lvl>
    <w:lvl w:ilvl="4" w:tplc="3E5831FC" w:tentative="1">
      <w:start w:val="1"/>
      <w:numFmt w:val="bullet"/>
      <w:lvlText w:val="•"/>
      <w:lvlJc w:val="left"/>
      <w:pPr>
        <w:tabs>
          <w:tab w:val="num" w:pos="3600"/>
        </w:tabs>
        <w:ind w:left="3600" w:hanging="360"/>
      </w:pPr>
      <w:rPr>
        <w:rFonts w:ascii="Arial" w:hAnsi="Arial" w:hint="default"/>
      </w:rPr>
    </w:lvl>
    <w:lvl w:ilvl="5" w:tplc="DBC0FA8C" w:tentative="1">
      <w:start w:val="1"/>
      <w:numFmt w:val="bullet"/>
      <w:lvlText w:val="•"/>
      <w:lvlJc w:val="left"/>
      <w:pPr>
        <w:tabs>
          <w:tab w:val="num" w:pos="4320"/>
        </w:tabs>
        <w:ind w:left="4320" w:hanging="360"/>
      </w:pPr>
      <w:rPr>
        <w:rFonts w:ascii="Arial" w:hAnsi="Arial" w:hint="default"/>
      </w:rPr>
    </w:lvl>
    <w:lvl w:ilvl="6" w:tplc="546AFAA2" w:tentative="1">
      <w:start w:val="1"/>
      <w:numFmt w:val="bullet"/>
      <w:lvlText w:val="•"/>
      <w:lvlJc w:val="left"/>
      <w:pPr>
        <w:tabs>
          <w:tab w:val="num" w:pos="5040"/>
        </w:tabs>
        <w:ind w:left="5040" w:hanging="360"/>
      </w:pPr>
      <w:rPr>
        <w:rFonts w:ascii="Arial" w:hAnsi="Arial" w:hint="default"/>
      </w:rPr>
    </w:lvl>
    <w:lvl w:ilvl="7" w:tplc="D6CCE284" w:tentative="1">
      <w:start w:val="1"/>
      <w:numFmt w:val="bullet"/>
      <w:lvlText w:val="•"/>
      <w:lvlJc w:val="left"/>
      <w:pPr>
        <w:tabs>
          <w:tab w:val="num" w:pos="5760"/>
        </w:tabs>
        <w:ind w:left="5760" w:hanging="360"/>
      </w:pPr>
      <w:rPr>
        <w:rFonts w:ascii="Arial" w:hAnsi="Arial" w:hint="default"/>
      </w:rPr>
    </w:lvl>
    <w:lvl w:ilvl="8" w:tplc="8F60C8E8" w:tentative="1">
      <w:start w:val="1"/>
      <w:numFmt w:val="bullet"/>
      <w:lvlText w:val="•"/>
      <w:lvlJc w:val="left"/>
      <w:pPr>
        <w:tabs>
          <w:tab w:val="num" w:pos="6480"/>
        </w:tabs>
        <w:ind w:left="6480" w:hanging="360"/>
      </w:pPr>
      <w:rPr>
        <w:rFonts w:ascii="Arial" w:hAnsi="Arial" w:hint="default"/>
      </w:rPr>
    </w:lvl>
  </w:abstractNum>
  <w:abstractNum w:abstractNumId="5">
    <w:nsid w:val="3CE54C09"/>
    <w:multiLevelType w:val="hybridMultilevel"/>
    <w:tmpl w:val="906AD090"/>
    <w:lvl w:ilvl="0" w:tplc="CA5CDE3E">
      <w:start w:val="1"/>
      <w:numFmt w:val="bullet"/>
      <w:lvlText w:val="•"/>
      <w:lvlJc w:val="left"/>
      <w:pPr>
        <w:tabs>
          <w:tab w:val="num" w:pos="720"/>
        </w:tabs>
        <w:ind w:left="720" w:hanging="360"/>
      </w:pPr>
      <w:rPr>
        <w:rFonts w:ascii="Arial" w:hAnsi="Arial" w:hint="default"/>
      </w:rPr>
    </w:lvl>
    <w:lvl w:ilvl="1" w:tplc="AE6E3FCA" w:tentative="1">
      <w:start w:val="1"/>
      <w:numFmt w:val="bullet"/>
      <w:lvlText w:val="•"/>
      <w:lvlJc w:val="left"/>
      <w:pPr>
        <w:tabs>
          <w:tab w:val="num" w:pos="1440"/>
        </w:tabs>
        <w:ind w:left="1440" w:hanging="360"/>
      </w:pPr>
      <w:rPr>
        <w:rFonts w:ascii="Arial" w:hAnsi="Arial" w:hint="default"/>
      </w:rPr>
    </w:lvl>
    <w:lvl w:ilvl="2" w:tplc="B7B4163A" w:tentative="1">
      <w:start w:val="1"/>
      <w:numFmt w:val="bullet"/>
      <w:lvlText w:val="•"/>
      <w:lvlJc w:val="left"/>
      <w:pPr>
        <w:tabs>
          <w:tab w:val="num" w:pos="2160"/>
        </w:tabs>
        <w:ind w:left="2160" w:hanging="360"/>
      </w:pPr>
      <w:rPr>
        <w:rFonts w:ascii="Arial" w:hAnsi="Arial" w:hint="default"/>
      </w:rPr>
    </w:lvl>
    <w:lvl w:ilvl="3" w:tplc="2DE28084" w:tentative="1">
      <w:start w:val="1"/>
      <w:numFmt w:val="bullet"/>
      <w:lvlText w:val="•"/>
      <w:lvlJc w:val="left"/>
      <w:pPr>
        <w:tabs>
          <w:tab w:val="num" w:pos="2880"/>
        </w:tabs>
        <w:ind w:left="2880" w:hanging="360"/>
      </w:pPr>
      <w:rPr>
        <w:rFonts w:ascii="Arial" w:hAnsi="Arial" w:hint="default"/>
      </w:rPr>
    </w:lvl>
    <w:lvl w:ilvl="4" w:tplc="B4E66F24" w:tentative="1">
      <w:start w:val="1"/>
      <w:numFmt w:val="bullet"/>
      <w:lvlText w:val="•"/>
      <w:lvlJc w:val="left"/>
      <w:pPr>
        <w:tabs>
          <w:tab w:val="num" w:pos="3600"/>
        </w:tabs>
        <w:ind w:left="3600" w:hanging="360"/>
      </w:pPr>
      <w:rPr>
        <w:rFonts w:ascii="Arial" w:hAnsi="Arial" w:hint="default"/>
      </w:rPr>
    </w:lvl>
    <w:lvl w:ilvl="5" w:tplc="463A84E6" w:tentative="1">
      <w:start w:val="1"/>
      <w:numFmt w:val="bullet"/>
      <w:lvlText w:val="•"/>
      <w:lvlJc w:val="left"/>
      <w:pPr>
        <w:tabs>
          <w:tab w:val="num" w:pos="4320"/>
        </w:tabs>
        <w:ind w:left="4320" w:hanging="360"/>
      </w:pPr>
      <w:rPr>
        <w:rFonts w:ascii="Arial" w:hAnsi="Arial" w:hint="default"/>
      </w:rPr>
    </w:lvl>
    <w:lvl w:ilvl="6" w:tplc="10A880A6" w:tentative="1">
      <w:start w:val="1"/>
      <w:numFmt w:val="bullet"/>
      <w:lvlText w:val="•"/>
      <w:lvlJc w:val="left"/>
      <w:pPr>
        <w:tabs>
          <w:tab w:val="num" w:pos="5040"/>
        </w:tabs>
        <w:ind w:left="5040" w:hanging="360"/>
      </w:pPr>
      <w:rPr>
        <w:rFonts w:ascii="Arial" w:hAnsi="Arial" w:hint="default"/>
      </w:rPr>
    </w:lvl>
    <w:lvl w:ilvl="7" w:tplc="C0CCDB58" w:tentative="1">
      <w:start w:val="1"/>
      <w:numFmt w:val="bullet"/>
      <w:lvlText w:val="•"/>
      <w:lvlJc w:val="left"/>
      <w:pPr>
        <w:tabs>
          <w:tab w:val="num" w:pos="5760"/>
        </w:tabs>
        <w:ind w:left="5760" w:hanging="360"/>
      </w:pPr>
      <w:rPr>
        <w:rFonts w:ascii="Arial" w:hAnsi="Arial" w:hint="default"/>
      </w:rPr>
    </w:lvl>
    <w:lvl w:ilvl="8" w:tplc="37980F5A" w:tentative="1">
      <w:start w:val="1"/>
      <w:numFmt w:val="bullet"/>
      <w:lvlText w:val="•"/>
      <w:lvlJc w:val="left"/>
      <w:pPr>
        <w:tabs>
          <w:tab w:val="num" w:pos="6480"/>
        </w:tabs>
        <w:ind w:left="6480" w:hanging="360"/>
      </w:pPr>
      <w:rPr>
        <w:rFonts w:ascii="Arial" w:hAnsi="Arial" w:hint="default"/>
      </w:rPr>
    </w:lvl>
  </w:abstractNum>
  <w:abstractNum w:abstractNumId="6">
    <w:nsid w:val="3D897560"/>
    <w:multiLevelType w:val="hybridMultilevel"/>
    <w:tmpl w:val="4D58BA14"/>
    <w:lvl w:ilvl="0" w:tplc="48ECE840">
      <w:start w:val="1"/>
      <w:numFmt w:val="bullet"/>
      <w:lvlText w:val="•"/>
      <w:lvlJc w:val="left"/>
      <w:pPr>
        <w:tabs>
          <w:tab w:val="num" w:pos="720"/>
        </w:tabs>
        <w:ind w:left="720" w:hanging="360"/>
      </w:pPr>
      <w:rPr>
        <w:rFonts w:ascii="Arial" w:hAnsi="Arial" w:hint="default"/>
      </w:rPr>
    </w:lvl>
    <w:lvl w:ilvl="1" w:tplc="668A525C" w:tentative="1">
      <w:start w:val="1"/>
      <w:numFmt w:val="bullet"/>
      <w:lvlText w:val="•"/>
      <w:lvlJc w:val="left"/>
      <w:pPr>
        <w:tabs>
          <w:tab w:val="num" w:pos="1440"/>
        </w:tabs>
        <w:ind w:left="1440" w:hanging="360"/>
      </w:pPr>
      <w:rPr>
        <w:rFonts w:ascii="Arial" w:hAnsi="Arial" w:hint="default"/>
      </w:rPr>
    </w:lvl>
    <w:lvl w:ilvl="2" w:tplc="2BE2C6AC" w:tentative="1">
      <w:start w:val="1"/>
      <w:numFmt w:val="bullet"/>
      <w:lvlText w:val="•"/>
      <w:lvlJc w:val="left"/>
      <w:pPr>
        <w:tabs>
          <w:tab w:val="num" w:pos="2160"/>
        </w:tabs>
        <w:ind w:left="2160" w:hanging="360"/>
      </w:pPr>
      <w:rPr>
        <w:rFonts w:ascii="Arial" w:hAnsi="Arial" w:hint="default"/>
      </w:rPr>
    </w:lvl>
    <w:lvl w:ilvl="3" w:tplc="38BE4E08" w:tentative="1">
      <w:start w:val="1"/>
      <w:numFmt w:val="bullet"/>
      <w:lvlText w:val="•"/>
      <w:lvlJc w:val="left"/>
      <w:pPr>
        <w:tabs>
          <w:tab w:val="num" w:pos="2880"/>
        </w:tabs>
        <w:ind w:left="2880" w:hanging="360"/>
      </w:pPr>
      <w:rPr>
        <w:rFonts w:ascii="Arial" w:hAnsi="Arial" w:hint="default"/>
      </w:rPr>
    </w:lvl>
    <w:lvl w:ilvl="4" w:tplc="0E74E356" w:tentative="1">
      <w:start w:val="1"/>
      <w:numFmt w:val="bullet"/>
      <w:lvlText w:val="•"/>
      <w:lvlJc w:val="left"/>
      <w:pPr>
        <w:tabs>
          <w:tab w:val="num" w:pos="3600"/>
        </w:tabs>
        <w:ind w:left="3600" w:hanging="360"/>
      </w:pPr>
      <w:rPr>
        <w:rFonts w:ascii="Arial" w:hAnsi="Arial" w:hint="default"/>
      </w:rPr>
    </w:lvl>
    <w:lvl w:ilvl="5" w:tplc="FB848080" w:tentative="1">
      <w:start w:val="1"/>
      <w:numFmt w:val="bullet"/>
      <w:lvlText w:val="•"/>
      <w:lvlJc w:val="left"/>
      <w:pPr>
        <w:tabs>
          <w:tab w:val="num" w:pos="4320"/>
        </w:tabs>
        <w:ind w:left="4320" w:hanging="360"/>
      </w:pPr>
      <w:rPr>
        <w:rFonts w:ascii="Arial" w:hAnsi="Arial" w:hint="default"/>
      </w:rPr>
    </w:lvl>
    <w:lvl w:ilvl="6" w:tplc="2A2E6B8A" w:tentative="1">
      <w:start w:val="1"/>
      <w:numFmt w:val="bullet"/>
      <w:lvlText w:val="•"/>
      <w:lvlJc w:val="left"/>
      <w:pPr>
        <w:tabs>
          <w:tab w:val="num" w:pos="5040"/>
        </w:tabs>
        <w:ind w:left="5040" w:hanging="360"/>
      </w:pPr>
      <w:rPr>
        <w:rFonts w:ascii="Arial" w:hAnsi="Arial" w:hint="default"/>
      </w:rPr>
    </w:lvl>
    <w:lvl w:ilvl="7" w:tplc="EEBEABFA" w:tentative="1">
      <w:start w:val="1"/>
      <w:numFmt w:val="bullet"/>
      <w:lvlText w:val="•"/>
      <w:lvlJc w:val="left"/>
      <w:pPr>
        <w:tabs>
          <w:tab w:val="num" w:pos="5760"/>
        </w:tabs>
        <w:ind w:left="5760" w:hanging="360"/>
      </w:pPr>
      <w:rPr>
        <w:rFonts w:ascii="Arial" w:hAnsi="Arial" w:hint="default"/>
      </w:rPr>
    </w:lvl>
    <w:lvl w:ilvl="8" w:tplc="2CB0B12C" w:tentative="1">
      <w:start w:val="1"/>
      <w:numFmt w:val="bullet"/>
      <w:lvlText w:val="•"/>
      <w:lvlJc w:val="left"/>
      <w:pPr>
        <w:tabs>
          <w:tab w:val="num" w:pos="6480"/>
        </w:tabs>
        <w:ind w:left="6480" w:hanging="360"/>
      </w:pPr>
      <w:rPr>
        <w:rFonts w:ascii="Arial" w:hAnsi="Arial" w:hint="default"/>
      </w:rPr>
    </w:lvl>
  </w:abstractNum>
  <w:abstractNum w:abstractNumId="7">
    <w:nsid w:val="4942346C"/>
    <w:multiLevelType w:val="hybridMultilevel"/>
    <w:tmpl w:val="BB8E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804A0"/>
    <w:multiLevelType w:val="hybridMultilevel"/>
    <w:tmpl w:val="16A03C32"/>
    <w:lvl w:ilvl="0" w:tplc="B45CD58A">
      <w:start w:val="1"/>
      <w:numFmt w:val="decimal"/>
      <w:lvlText w:val="%1."/>
      <w:lvlJc w:val="left"/>
      <w:pPr>
        <w:tabs>
          <w:tab w:val="num" w:pos="720"/>
        </w:tabs>
        <w:ind w:left="720" w:hanging="360"/>
      </w:pPr>
    </w:lvl>
    <w:lvl w:ilvl="1" w:tplc="ADA88604" w:tentative="1">
      <w:start w:val="1"/>
      <w:numFmt w:val="decimal"/>
      <w:lvlText w:val="%2."/>
      <w:lvlJc w:val="left"/>
      <w:pPr>
        <w:tabs>
          <w:tab w:val="num" w:pos="1440"/>
        </w:tabs>
        <w:ind w:left="1440" w:hanging="360"/>
      </w:pPr>
    </w:lvl>
    <w:lvl w:ilvl="2" w:tplc="E11A2FAC" w:tentative="1">
      <w:start w:val="1"/>
      <w:numFmt w:val="decimal"/>
      <w:lvlText w:val="%3."/>
      <w:lvlJc w:val="left"/>
      <w:pPr>
        <w:tabs>
          <w:tab w:val="num" w:pos="2160"/>
        </w:tabs>
        <w:ind w:left="2160" w:hanging="360"/>
      </w:pPr>
    </w:lvl>
    <w:lvl w:ilvl="3" w:tplc="6778C9AC" w:tentative="1">
      <w:start w:val="1"/>
      <w:numFmt w:val="decimal"/>
      <w:lvlText w:val="%4."/>
      <w:lvlJc w:val="left"/>
      <w:pPr>
        <w:tabs>
          <w:tab w:val="num" w:pos="2880"/>
        </w:tabs>
        <w:ind w:left="2880" w:hanging="360"/>
      </w:pPr>
    </w:lvl>
    <w:lvl w:ilvl="4" w:tplc="7E9C8C5C" w:tentative="1">
      <w:start w:val="1"/>
      <w:numFmt w:val="decimal"/>
      <w:lvlText w:val="%5."/>
      <w:lvlJc w:val="left"/>
      <w:pPr>
        <w:tabs>
          <w:tab w:val="num" w:pos="3600"/>
        </w:tabs>
        <w:ind w:left="3600" w:hanging="360"/>
      </w:pPr>
    </w:lvl>
    <w:lvl w:ilvl="5" w:tplc="23946DAC" w:tentative="1">
      <w:start w:val="1"/>
      <w:numFmt w:val="decimal"/>
      <w:lvlText w:val="%6."/>
      <w:lvlJc w:val="left"/>
      <w:pPr>
        <w:tabs>
          <w:tab w:val="num" w:pos="4320"/>
        </w:tabs>
        <w:ind w:left="4320" w:hanging="360"/>
      </w:pPr>
    </w:lvl>
    <w:lvl w:ilvl="6" w:tplc="ED709938" w:tentative="1">
      <w:start w:val="1"/>
      <w:numFmt w:val="decimal"/>
      <w:lvlText w:val="%7."/>
      <w:lvlJc w:val="left"/>
      <w:pPr>
        <w:tabs>
          <w:tab w:val="num" w:pos="5040"/>
        </w:tabs>
        <w:ind w:left="5040" w:hanging="360"/>
      </w:pPr>
    </w:lvl>
    <w:lvl w:ilvl="7" w:tplc="7340EC78" w:tentative="1">
      <w:start w:val="1"/>
      <w:numFmt w:val="decimal"/>
      <w:lvlText w:val="%8."/>
      <w:lvlJc w:val="left"/>
      <w:pPr>
        <w:tabs>
          <w:tab w:val="num" w:pos="5760"/>
        </w:tabs>
        <w:ind w:left="5760" w:hanging="360"/>
      </w:pPr>
    </w:lvl>
    <w:lvl w:ilvl="8" w:tplc="4B127ECC" w:tentative="1">
      <w:start w:val="1"/>
      <w:numFmt w:val="decimal"/>
      <w:lvlText w:val="%9."/>
      <w:lvlJc w:val="left"/>
      <w:pPr>
        <w:tabs>
          <w:tab w:val="num" w:pos="6480"/>
        </w:tabs>
        <w:ind w:left="6480" w:hanging="360"/>
      </w:pPr>
    </w:lvl>
  </w:abstractNum>
  <w:abstractNum w:abstractNumId="9">
    <w:nsid w:val="5C90467E"/>
    <w:multiLevelType w:val="hybridMultilevel"/>
    <w:tmpl w:val="0284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704A1"/>
    <w:multiLevelType w:val="hybridMultilevel"/>
    <w:tmpl w:val="721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6"/>
  </w:num>
  <w:num w:numId="5">
    <w:abstractNumId w:val="5"/>
  </w:num>
  <w:num w:numId="6">
    <w:abstractNumId w:val="0"/>
  </w:num>
  <w:num w:numId="7">
    <w:abstractNumId w:val="2"/>
  </w:num>
  <w:num w:numId="8">
    <w:abstractNumId w:val="4"/>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4F"/>
    <w:rsid w:val="00022B88"/>
    <w:rsid w:val="00032767"/>
    <w:rsid w:val="00061B2C"/>
    <w:rsid w:val="00065CCF"/>
    <w:rsid w:val="00085E42"/>
    <w:rsid w:val="000A5F72"/>
    <w:rsid w:val="000D1541"/>
    <w:rsid w:val="00111F68"/>
    <w:rsid w:val="001463A1"/>
    <w:rsid w:val="0015536B"/>
    <w:rsid w:val="0016473E"/>
    <w:rsid w:val="00183C89"/>
    <w:rsid w:val="001E065E"/>
    <w:rsid w:val="001E6B2F"/>
    <w:rsid w:val="00207B3F"/>
    <w:rsid w:val="002101DD"/>
    <w:rsid w:val="00227C51"/>
    <w:rsid w:val="0029741A"/>
    <w:rsid w:val="002A4B4A"/>
    <w:rsid w:val="002D3FC6"/>
    <w:rsid w:val="002D7377"/>
    <w:rsid w:val="002E360C"/>
    <w:rsid w:val="00332FB0"/>
    <w:rsid w:val="003544A6"/>
    <w:rsid w:val="0035453D"/>
    <w:rsid w:val="00380350"/>
    <w:rsid w:val="003C1F1D"/>
    <w:rsid w:val="003C485B"/>
    <w:rsid w:val="00401965"/>
    <w:rsid w:val="00405556"/>
    <w:rsid w:val="00407ED6"/>
    <w:rsid w:val="00411A14"/>
    <w:rsid w:val="004201F6"/>
    <w:rsid w:val="004706BB"/>
    <w:rsid w:val="004958B2"/>
    <w:rsid w:val="004A2023"/>
    <w:rsid w:val="004C61DE"/>
    <w:rsid w:val="0050286B"/>
    <w:rsid w:val="00521DEC"/>
    <w:rsid w:val="00561053"/>
    <w:rsid w:val="00596914"/>
    <w:rsid w:val="00596A43"/>
    <w:rsid w:val="005B6D17"/>
    <w:rsid w:val="005C1308"/>
    <w:rsid w:val="00600843"/>
    <w:rsid w:val="006328F9"/>
    <w:rsid w:val="0065661B"/>
    <w:rsid w:val="006C224C"/>
    <w:rsid w:val="007020C2"/>
    <w:rsid w:val="00731842"/>
    <w:rsid w:val="0073617E"/>
    <w:rsid w:val="007643B0"/>
    <w:rsid w:val="0079578B"/>
    <w:rsid w:val="007A3982"/>
    <w:rsid w:val="007C249A"/>
    <w:rsid w:val="007C3EC3"/>
    <w:rsid w:val="00816F70"/>
    <w:rsid w:val="008265BF"/>
    <w:rsid w:val="008762A8"/>
    <w:rsid w:val="0096105D"/>
    <w:rsid w:val="009D58F3"/>
    <w:rsid w:val="00A13CBA"/>
    <w:rsid w:val="00A66C87"/>
    <w:rsid w:val="00A867FB"/>
    <w:rsid w:val="00A91869"/>
    <w:rsid w:val="00A956F1"/>
    <w:rsid w:val="00AA4805"/>
    <w:rsid w:val="00B00785"/>
    <w:rsid w:val="00B14EBA"/>
    <w:rsid w:val="00B83EE0"/>
    <w:rsid w:val="00B92E1A"/>
    <w:rsid w:val="00B932E4"/>
    <w:rsid w:val="00BA5499"/>
    <w:rsid w:val="00BC46B3"/>
    <w:rsid w:val="00BC6C0C"/>
    <w:rsid w:val="00C070C2"/>
    <w:rsid w:val="00C10EB7"/>
    <w:rsid w:val="00C14DC7"/>
    <w:rsid w:val="00C16A74"/>
    <w:rsid w:val="00C9740E"/>
    <w:rsid w:val="00CB033D"/>
    <w:rsid w:val="00CF6523"/>
    <w:rsid w:val="00D00A4A"/>
    <w:rsid w:val="00D0576A"/>
    <w:rsid w:val="00D13017"/>
    <w:rsid w:val="00D2700B"/>
    <w:rsid w:val="00D76603"/>
    <w:rsid w:val="00DB0D5C"/>
    <w:rsid w:val="00DC13C4"/>
    <w:rsid w:val="00DC5B4F"/>
    <w:rsid w:val="00DE3169"/>
    <w:rsid w:val="00DF0673"/>
    <w:rsid w:val="00DF5A1A"/>
    <w:rsid w:val="00E353D3"/>
    <w:rsid w:val="00E522CA"/>
    <w:rsid w:val="00E54590"/>
    <w:rsid w:val="00EB4192"/>
    <w:rsid w:val="00EC631E"/>
    <w:rsid w:val="00EE48E1"/>
    <w:rsid w:val="00F020D8"/>
    <w:rsid w:val="00F5386B"/>
    <w:rsid w:val="00F64AA3"/>
    <w:rsid w:val="00F675FD"/>
    <w:rsid w:val="00F80B7E"/>
    <w:rsid w:val="00FA052A"/>
    <w:rsid w:val="00FA3347"/>
    <w:rsid w:val="00FC73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3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4F"/>
    <w:pPr>
      <w:ind w:left="720"/>
      <w:contextualSpacing/>
    </w:pPr>
  </w:style>
  <w:style w:type="paragraph" w:styleId="BalloonText">
    <w:name w:val="Balloon Text"/>
    <w:basedOn w:val="Normal"/>
    <w:link w:val="BalloonTextChar"/>
    <w:uiPriority w:val="99"/>
    <w:semiHidden/>
    <w:unhideWhenUsed/>
    <w:rsid w:val="00F02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0D8"/>
    <w:rPr>
      <w:rFonts w:ascii="Tahoma" w:hAnsi="Tahoma" w:cs="Tahoma"/>
      <w:sz w:val="16"/>
      <w:szCs w:val="16"/>
    </w:rPr>
  </w:style>
  <w:style w:type="character" w:styleId="Hyperlink">
    <w:name w:val="Hyperlink"/>
    <w:basedOn w:val="DefaultParagraphFont"/>
    <w:uiPriority w:val="99"/>
    <w:unhideWhenUsed/>
    <w:rsid w:val="00C070C2"/>
    <w:rPr>
      <w:color w:val="0000FF" w:themeColor="hyperlink"/>
      <w:u w:val="single"/>
    </w:rPr>
  </w:style>
  <w:style w:type="character" w:customStyle="1" w:styleId="Heading1Char">
    <w:name w:val="Heading 1 Char"/>
    <w:basedOn w:val="DefaultParagraphFont"/>
    <w:link w:val="Heading1"/>
    <w:uiPriority w:val="9"/>
    <w:rsid w:val="00FC73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64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73E"/>
  </w:style>
  <w:style w:type="paragraph" w:styleId="Footer">
    <w:name w:val="footer"/>
    <w:basedOn w:val="Normal"/>
    <w:link w:val="FooterChar"/>
    <w:uiPriority w:val="99"/>
    <w:unhideWhenUsed/>
    <w:rsid w:val="0016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3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4F"/>
    <w:pPr>
      <w:ind w:left="720"/>
      <w:contextualSpacing/>
    </w:pPr>
  </w:style>
  <w:style w:type="paragraph" w:styleId="BalloonText">
    <w:name w:val="Balloon Text"/>
    <w:basedOn w:val="Normal"/>
    <w:link w:val="BalloonTextChar"/>
    <w:uiPriority w:val="99"/>
    <w:semiHidden/>
    <w:unhideWhenUsed/>
    <w:rsid w:val="00F02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0D8"/>
    <w:rPr>
      <w:rFonts w:ascii="Tahoma" w:hAnsi="Tahoma" w:cs="Tahoma"/>
      <w:sz w:val="16"/>
      <w:szCs w:val="16"/>
    </w:rPr>
  </w:style>
  <w:style w:type="character" w:styleId="Hyperlink">
    <w:name w:val="Hyperlink"/>
    <w:basedOn w:val="DefaultParagraphFont"/>
    <w:uiPriority w:val="99"/>
    <w:unhideWhenUsed/>
    <w:rsid w:val="00C070C2"/>
    <w:rPr>
      <w:color w:val="0000FF" w:themeColor="hyperlink"/>
      <w:u w:val="single"/>
    </w:rPr>
  </w:style>
  <w:style w:type="character" w:customStyle="1" w:styleId="Heading1Char">
    <w:name w:val="Heading 1 Char"/>
    <w:basedOn w:val="DefaultParagraphFont"/>
    <w:link w:val="Heading1"/>
    <w:uiPriority w:val="9"/>
    <w:rsid w:val="00FC73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64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73E"/>
  </w:style>
  <w:style w:type="paragraph" w:styleId="Footer">
    <w:name w:val="footer"/>
    <w:basedOn w:val="Normal"/>
    <w:link w:val="FooterChar"/>
    <w:uiPriority w:val="99"/>
    <w:unhideWhenUsed/>
    <w:rsid w:val="0016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9346">
      <w:bodyDiv w:val="1"/>
      <w:marLeft w:val="0"/>
      <w:marRight w:val="0"/>
      <w:marTop w:val="0"/>
      <w:marBottom w:val="0"/>
      <w:divBdr>
        <w:top w:val="none" w:sz="0" w:space="0" w:color="auto"/>
        <w:left w:val="none" w:sz="0" w:space="0" w:color="auto"/>
        <w:bottom w:val="none" w:sz="0" w:space="0" w:color="auto"/>
        <w:right w:val="none" w:sz="0" w:space="0" w:color="auto"/>
      </w:divBdr>
    </w:div>
    <w:div w:id="193269469">
      <w:bodyDiv w:val="1"/>
      <w:marLeft w:val="0"/>
      <w:marRight w:val="0"/>
      <w:marTop w:val="0"/>
      <w:marBottom w:val="0"/>
      <w:divBdr>
        <w:top w:val="none" w:sz="0" w:space="0" w:color="auto"/>
        <w:left w:val="none" w:sz="0" w:space="0" w:color="auto"/>
        <w:bottom w:val="none" w:sz="0" w:space="0" w:color="auto"/>
        <w:right w:val="none" w:sz="0" w:space="0" w:color="auto"/>
      </w:divBdr>
    </w:div>
    <w:div w:id="256640212">
      <w:bodyDiv w:val="1"/>
      <w:marLeft w:val="0"/>
      <w:marRight w:val="0"/>
      <w:marTop w:val="0"/>
      <w:marBottom w:val="0"/>
      <w:divBdr>
        <w:top w:val="none" w:sz="0" w:space="0" w:color="auto"/>
        <w:left w:val="none" w:sz="0" w:space="0" w:color="auto"/>
        <w:bottom w:val="none" w:sz="0" w:space="0" w:color="auto"/>
        <w:right w:val="none" w:sz="0" w:space="0" w:color="auto"/>
      </w:divBdr>
    </w:div>
    <w:div w:id="519272460">
      <w:bodyDiv w:val="1"/>
      <w:marLeft w:val="0"/>
      <w:marRight w:val="0"/>
      <w:marTop w:val="0"/>
      <w:marBottom w:val="0"/>
      <w:divBdr>
        <w:top w:val="none" w:sz="0" w:space="0" w:color="auto"/>
        <w:left w:val="none" w:sz="0" w:space="0" w:color="auto"/>
        <w:bottom w:val="none" w:sz="0" w:space="0" w:color="auto"/>
        <w:right w:val="none" w:sz="0" w:space="0" w:color="auto"/>
      </w:divBdr>
    </w:div>
    <w:div w:id="555316099">
      <w:bodyDiv w:val="1"/>
      <w:marLeft w:val="0"/>
      <w:marRight w:val="0"/>
      <w:marTop w:val="0"/>
      <w:marBottom w:val="0"/>
      <w:divBdr>
        <w:top w:val="none" w:sz="0" w:space="0" w:color="auto"/>
        <w:left w:val="none" w:sz="0" w:space="0" w:color="auto"/>
        <w:bottom w:val="none" w:sz="0" w:space="0" w:color="auto"/>
        <w:right w:val="none" w:sz="0" w:space="0" w:color="auto"/>
      </w:divBdr>
    </w:div>
    <w:div w:id="679356587">
      <w:bodyDiv w:val="1"/>
      <w:marLeft w:val="0"/>
      <w:marRight w:val="0"/>
      <w:marTop w:val="0"/>
      <w:marBottom w:val="0"/>
      <w:divBdr>
        <w:top w:val="none" w:sz="0" w:space="0" w:color="auto"/>
        <w:left w:val="none" w:sz="0" w:space="0" w:color="auto"/>
        <w:bottom w:val="none" w:sz="0" w:space="0" w:color="auto"/>
        <w:right w:val="none" w:sz="0" w:space="0" w:color="auto"/>
      </w:divBdr>
    </w:div>
    <w:div w:id="850220721">
      <w:bodyDiv w:val="1"/>
      <w:marLeft w:val="0"/>
      <w:marRight w:val="0"/>
      <w:marTop w:val="0"/>
      <w:marBottom w:val="0"/>
      <w:divBdr>
        <w:top w:val="none" w:sz="0" w:space="0" w:color="auto"/>
        <w:left w:val="none" w:sz="0" w:space="0" w:color="auto"/>
        <w:bottom w:val="none" w:sz="0" w:space="0" w:color="auto"/>
        <w:right w:val="none" w:sz="0" w:space="0" w:color="auto"/>
      </w:divBdr>
    </w:div>
    <w:div w:id="1233084941">
      <w:bodyDiv w:val="1"/>
      <w:marLeft w:val="0"/>
      <w:marRight w:val="0"/>
      <w:marTop w:val="0"/>
      <w:marBottom w:val="0"/>
      <w:divBdr>
        <w:top w:val="none" w:sz="0" w:space="0" w:color="auto"/>
        <w:left w:val="none" w:sz="0" w:space="0" w:color="auto"/>
        <w:bottom w:val="none" w:sz="0" w:space="0" w:color="auto"/>
        <w:right w:val="none" w:sz="0" w:space="0" w:color="auto"/>
      </w:divBdr>
    </w:div>
    <w:div w:id="1318220356">
      <w:bodyDiv w:val="1"/>
      <w:marLeft w:val="0"/>
      <w:marRight w:val="0"/>
      <w:marTop w:val="0"/>
      <w:marBottom w:val="0"/>
      <w:divBdr>
        <w:top w:val="none" w:sz="0" w:space="0" w:color="auto"/>
        <w:left w:val="none" w:sz="0" w:space="0" w:color="auto"/>
        <w:bottom w:val="none" w:sz="0" w:space="0" w:color="auto"/>
        <w:right w:val="none" w:sz="0" w:space="0" w:color="auto"/>
      </w:divBdr>
      <w:divsChild>
        <w:div w:id="1711883806">
          <w:marLeft w:val="806"/>
          <w:marRight w:val="0"/>
          <w:marTop w:val="134"/>
          <w:marBottom w:val="0"/>
          <w:divBdr>
            <w:top w:val="none" w:sz="0" w:space="0" w:color="auto"/>
            <w:left w:val="none" w:sz="0" w:space="0" w:color="auto"/>
            <w:bottom w:val="none" w:sz="0" w:space="0" w:color="auto"/>
            <w:right w:val="none" w:sz="0" w:space="0" w:color="auto"/>
          </w:divBdr>
        </w:div>
        <w:div w:id="459422409">
          <w:marLeft w:val="806"/>
          <w:marRight w:val="0"/>
          <w:marTop w:val="134"/>
          <w:marBottom w:val="0"/>
          <w:divBdr>
            <w:top w:val="none" w:sz="0" w:space="0" w:color="auto"/>
            <w:left w:val="none" w:sz="0" w:space="0" w:color="auto"/>
            <w:bottom w:val="none" w:sz="0" w:space="0" w:color="auto"/>
            <w:right w:val="none" w:sz="0" w:space="0" w:color="auto"/>
          </w:divBdr>
        </w:div>
        <w:div w:id="1546794234">
          <w:marLeft w:val="806"/>
          <w:marRight w:val="0"/>
          <w:marTop w:val="134"/>
          <w:marBottom w:val="0"/>
          <w:divBdr>
            <w:top w:val="none" w:sz="0" w:space="0" w:color="auto"/>
            <w:left w:val="none" w:sz="0" w:space="0" w:color="auto"/>
            <w:bottom w:val="none" w:sz="0" w:space="0" w:color="auto"/>
            <w:right w:val="none" w:sz="0" w:space="0" w:color="auto"/>
          </w:divBdr>
        </w:div>
        <w:div w:id="1610963845">
          <w:marLeft w:val="806"/>
          <w:marRight w:val="0"/>
          <w:marTop w:val="134"/>
          <w:marBottom w:val="0"/>
          <w:divBdr>
            <w:top w:val="none" w:sz="0" w:space="0" w:color="auto"/>
            <w:left w:val="none" w:sz="0" w:space="0" w:color="auto"/>
            <w:bottom w:val="none" w:sz="0" w:space="0" w:color="auto"/>
            <w:right w:val="none" w:sz="0" w:space="0" w:color="auto"/>
          </w:divBdr>
        </w:div>
        <w:div w:id="400179096">
          <w:marLeft w:val="806"/>
          <w:marRight w:val="0"/>
          <w:marTop w:val="134"/>
          <w:marBottom w:val="0"/>
          <w:divBdr>
            <w:top w:val="none" w:sz="0" w:space="0" w:color="auto"/>
            <w:left w:val="none" w:sz="0" w:space="0" w:color="auto"/>
            <w:bottom w:val="none" w:sz="0" w:space="0" w:color="auto"/>
            <w:right w:val="none" w:sz="0" w:space="0" w:color="auto"/>
          </w:divBdr>
        </w:div>
        <w:div w:id="1454206725">
          <w:marLeft w:val="806"/>
          <w:marRight w:val="0"/>
          <w:marTop w:val="134"/>
          <w:marBottom w:val="0"/>
          <w:divBdr>
            <w:top w:val="none" w:sz="0" w:space="0" w:color="auto"/>
            <w:left w:val="none" w:sz="0" w:space="0" w:color="auto"/>
            <w:bottom w:val="none" w:sz="0" w:space="0" w:color="auto"/>
            <w:right w:val="none" w:sz="0" w:space="0" w:color="auto"/>
          </w:divBdr>
        </w:div>
      </w:divsChild>
    </w:div>
    <w:div w:id="1440107032">
      <w:bodyDiv w:val="1"/>
      <w:marLeft w:val="0"/>
      <w:marRight w:val="0"/>
      <w:marTop w:val="0"/>
      <w:marBottom w:val="0"/>
      <w:divBdr>
        <w:top w:val="none" w:sz="0" w:space="0" w:color="auto"/>
        <w:left w:val="none" w:sz="0" w:space="0" w:color="auto"/>
        <w:bottom w:val="none" w:sz="0" w:space="0" w:color="auto"/>
        <w:right w:val="none" w:sz="0" w:space="0" w:color="auto"/>
      </w:divBdr>
    </w:div>
    <w:div w:id="1534150777">
      <w:bodyDiv w:val="1"/>
      <w:marLeft w:val="0"/>
      <w:marRight w:val="0"/>
      <w:marTop w:val="0"/>
      <w:marBottom w:val="0"/>
      <w:divBdr>
        <w:top w:val="none" w:sz="0" w:space="0" w:color="auto"/>
        <w:left w:val="none" w:sz="0" w:space="0" w:color="auto"/>
        <w:bottom w:val="none" w:sz="0" w:space="0" w:color="auto"/>
        <w:right w:val="none" w:sz="0" w:space="0" w:color="auto"/>
      </w:divBdr>
    </w:div>
    <w:div w:id="1651253578">
      <w:bodyDiv w:val="1"/>
      <w:marLeft w:val="0"/>
      <w:marRight w:val="0"/>
      <w:marTop w:val="0"/>
      <w:marBottom w:val="0"/>
      <w:divBdr>
        <w:top w:val="none" w:sz="0" w:space="0" w:color="auto"/>
        <w:left w:val="none" w:sz="0" w:space="0" w:color="auto"/>
        <w:bottom w:val="none" w:sz="0" w:space="0" w:color="auto"/>
        <w:right w:val="none" w:sz="0" w:space="0" w:color="auto"/>
      </w:divBdr>
    </w:div>
    <w:div w:id="1663702794">
      <w:bodyDiv w:val="1"/>
      <w:marLeft w:val="0"/>
      <w:marRight w:val="0"/>
      <w:marTop w:val="0"/>
      <w:marBottom w:val="0"/>
      <w:divBdr>
        <w:top w:val="none" w:sz="0" w:space="0" w:color="auto"/>
        <w:left w:val="none" w:sz="0" w:space="0" w:color="auto"/>
        <w:bottom w:val="none" w:sz="0" w:space="0" w:color="auto"/>
        <w:right w:val="none" w:sz="0" w:space="0" w:color="auto"/>
      </w:divBdr>
    </w:div>
    <w:div w:id="1775443990">
      <w:bodyDiv w:val="1"/>
      <w:marLeft w:val="0"/>
      <w:marRight w:val="0"/>
      <w:marTop w:val="0"/>
      <w:marBottom w:val="0"/>
      <w:divBdr>
        <w:top w:val="none" w:sz="0" w:space="0" w:color="auto"/>
        <w:left w:val="none" w:sz="0" w:space="0" w:color="auto"/>
        <w:bottom w:val="none" w:sz="0" w:space="0" w:color="auto"/>
        <w:right w:val="none" w:sz="0" w:space="0" w:color="auto"/>
      </w:divBdr>
    </w:div>
    <w:div w:id="20803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53A3-C535-401D-88AD-FB5B4728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F2E89E61</Template>
  <TotalTime>0</TotalTime>
  <Pages>3</Pages>
  <Words>2491</Words>
  <Characters>14202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arinex Pty Limited</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Hausman</dc:creator>
  <cp:lastModifiedBy>Angie Poulos</cp:lastModifiedBy>
  <cp:revision>2</cp:revision>
  <cp:lastPrinted>2011-07-29T03:24:00Z</cp:lastPrinted>
  <dcterms:created xsi:type="dcterms:W3CDTF">2011-09-07T05:54:00Z</dcterms:created>
  <dcterms:modified xsi:type="dcterms:W3CDTF">2011-09-07T05:54:00Z</dcterms:modified>
</cp:coreProperties>
</file>